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711" w:rsidRDefault="00FB471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B4711" w:rsidRDefault="00FB471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B471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4711" w:rsidRDefault="00FB4711">
            <w:pPr>
              <w:pStyle w:val="ConsPlusNormal"/>
              <w:outlineLvl w:val="0"/>
            </w:pPr>
            <w:r>
              <w:t>21 декабря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B4711" w:rsidRDefault="00FB4711">
            <w:pPr>
              <w:pStyle w:val="ConsPlusNormal"/>
              <w:jc w:val="right"/>
              <w:outlineLvl w:val="0"/>
            </w:pPr>
            <w:r>
              <w:t>N 800</w:t>
            </w:r>
          </w:p>
        </w:tc>
      </w:tr>
    </w:tbl>
    <w:p w:rsidR="00FB4711" w:rsidRDefault="00FB471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Title"/>
        <w:jc w:val="center"/>
      </w:pPr>
      <w:r>
        <w:t>УКАЗ</w:t>
      </w:r>
    </w:p>
    <w:p w:rsidR="00FB4711" w:rsidRDefault="00FB4711">
      <w:pPr>
        <w:pStyle w:val="ConsPlusTitle"/>
        <w:jc w:val="center"/>
      </w:pPr>
    </w:p>
    <w:p w:rsidR="00FB4711" w:rsidRDefault="00FB4711">
      <w:pPr>
        <w:pStyle w:val="ConsPlusTitle"/>
        <w:jc w:val="center"/>
      </w:pPr>
      <w:r>
        <w:t>ПРЕЗИДЕНТА РОССИЙСКОЙ ФЕДЕРАЦИИ</w:t>
      </w:r>
    </w:p>
    <w:p w:rsidR="00FB4711" w:rsidRDefault="00FB4711">
      <w:pPr>
        <w:pStyle w:val="ConsPlusTitle"/>
        <w:jc w:val="center"/>
      </w:pPr>
    </w:p>
    <w:p w:rsidR="00FB4711" w:rsidRDefault="00FB4711">
      <w:pPr>
        <w:pStyle w:val="ConsPlusTitle"/>
        <w:jc w:val="center"/>
      </w:pPr>
      <w:r>
        <w:t>ВОПРОСЫ ГОСУДАРСТВЕННОГО СОВЕТА РОССИЙСКОЙ ФЕДЕРАЦИИ</w:t>
      </w:r>
    </w:p>
    <w:p w:rsidR="00FB4711" w:rsidRDefault="00FB47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47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4711" w:rsidRDefault="00FB47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4711" w:rsidRDefault="00FB47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4711" w:rsidRDefault="00FB47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4711" w:rsidRDefault="00FB471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Президента РФ от 15.11.2021 </w:t>
            </w:r>
            <w:hyperlink r:id="rId5">
              <w:r>
                <w:rPr>
                  <w:color w:val="0000FF"/>
                </w:rPr>
                <w:t>N 654</w:t>
              </w:r>
            </w:hyperlink>
            <w:r>
              <w:rPr>
                <w:color w:val="392C69"/>
              </w:rPr>
              <w:t>,</w:t>
            </w:r>
          </w:p>
          <w:p w:rsidR="00FB4711" w:rsidRDefault="00FB47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03.06.2022 </w:t>
            </w:r>
            <w:hyperlink r:id="rId6">
              <w:r>
                <w:rPr>
                  <w:color w:val="0000FF"/>
                </w:rPr>
                <w:t>N 351</w:t>
              </w:r>
            </w:hyperlink>
            <w:r>
              <w:rPr>
                <w:color w:val="392C69"/>
              </w:rPr>
              <w:t xml:space="preserve">, от 12.07.2022 </w:t>
            </w:r>
            <w:hyperlink r:id="rId7">
              <w:r>
                <w:rPr>
                  <w:color w:val="0000FF"/>
                </w:rPr>
                <w:t>N 445</w:t>
              </w:r>
            </w:hyperlink>
            <w:r>
              <w:rPr>
                <w:color w:val="392C69"/>
              </w:rPr>
              <w:t xml:space="preserve">, от 22.07.2024 </w:t>
            </w:r>
            <w:hyperlink r:id="rId8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>,</w:t>
            </w:r>
          </w:p>
          <w:p w:rsidR="00FB4711" w:rsidRDefault="00FB47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09.09.2024 </w:t>
            </w:r>
            <w:hyperlink r:id="rId9">
              <w:r>
                <w:rPr>
                  <w:color w:val="0000FF"/>
                </w:rPr>
                <w:t>N 764</w:t>
              </w:r>
            </w:hyperlink>
            <w:r>
              <w:rPr>
                <w:color w:val="392C69"/>
              </w:rPr>
              <w:t xml:space="preserve">, от 16.09.2024 </w:t>
            </w:r>
            <w:hyperlink r:id="rId10">
              <w:r>
                <w:rPr>
                  <w:color w:val="0000FF"/>
                </w:rPr>
                <w:t>N 795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4711" w:rsidRDefault="00FB4711">
            <w:pPr>
              <w:pStyle w:val="ConsPlusNormal"/>
            </w:pPr>
          </w:p>
        </w:tc>
      </w:tr>
    </w:tbl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ind w:firstLine="540"/>
        <w:jc w:val="both"/>
      </w:pPr>
      <w:r>
        <w:t xml:space="preserve">В соответствии с </w:t>
      </w:r>
      <w:hyperlink r:id="rId11">
        <w:r>
          <w:rPr>
            <w:color w:val="0000FF"/>
          </w:rPr>
          <w:t>пунктом 5 части 2 статьи 8</w:t>
        </w:r>
      </w:hyperlink>
      <w:r>
        <w:t xml:space="preserve"> и </w:t>
      </w:r>
      <w:hyperlink r:id="rId12">
        <w:r>
          <w:rPr>
            <w:color w:val="0000FF"/>
          </w:rPr>
          <w:t>частью 3 статьи 11</w:t>
        </w:r>
      </w:hyperlink>
      <w:r>
        <w:t xml:space="preserve"> Федерального закона от 8 декабря 2020 г. N 394-ФЗ "О Государственном Совете Российской Федерации" постановляю: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8">
        <w:r>
          <w:rPr>
            <w:color w:val="0000FF"/>
          </w:rPr>
          <w:t>Положение</w:t>
        </w:r>
      </w:hyperlink>
      <w:r>
        <w:t xml:space="preserve"> о рабочих органах Государственного Совета Российской Федерации и Секретаре Государственного Совета Российской Федерации.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 xml:space="preserve">2 - 4. Утратили силу с 22 июля 2024 года. - </w:t>
      </w:r>
      <w:hyperlink r:id="rId13">
        <w:r>
          <w:rPr>
            <w:color w:val="0000FF"/>
          </w:rPr>
          <w:t>Указ</w:t>
        </w:r>
      </w:hyperlink>
      <w:r>
        <w:t xml:space="preserve"> Президента РФ от 22.07.2024 N 613.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5. Признать утратившими силу: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14">
        <w:proofErr w:type="gramStart"/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2</w:t>
        </w:r>
      </w:hyperlink>
      <w:r>
        <w:t xml:space="preserve"> Указа Президента Российской Федерации от 1 сентября 2000 г. N 1602 "О Государственном совете Российской Федерации" (Собрание законодательства Российской Федерации, 2000, N 36, ст. 3633);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15">
        <w:proofErr w:type="gramStart"/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11</w:t>
        </w:r>
      </w:hyperlink>
      <w:r>
        <w:t xml:space="preserve"> приложения N 1 к Указу Президента Российской Федерации от 28 июня 2005 г. N 736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2005, N 28, ст. 2865);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Указ</w:t>
        </w:r>
      </w:hyperlink>
      <w:r>
        <w:t xml:space="preserve"> Президента Российской Федерации от 23 февраля 2007 г. N 241 "О внесении изменений в Положение о Государственном совете Российской Федерации, утвержденное Указом Президента Российской Федерации от 1 сентября 2000 г. N 1602" (Собрание законодательства Российской Федерации, 2007, N 9, ст. 1061);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Указ</w:t>
        </w:r>
      </w:hyperlink>
      <w:r>
        <w:t xml:space="preserve"> Президента Российской Федерации от 12 марта 2010 г. N 303 "О внесении изменения в Положение о Государственном совете Российской Федерации, утвержденное Указом Президента Российской Федерации от 1 сентября 2000 г. N 1602" (Собрание законодательства Российской Федерации, 2010, N 11, ст. 1195);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Указ</w:t>
        </w:r>
      </w:hyperlink>
      <w:r>
        <w:t xml:space="preserve"> Президента Российской Федерации от 11 июля 2012 г. N 946 "Вопросы Государственного совета Российской Федерации" (Собрание законодательства Российской Федерации, 2012, N 29, ст. 4066);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Указ</w:t>
        </w:r>
      </w:hyperlink>
      <w:r>
        <w:t xml:space="preserve"> Президента Российской Федерации от 10 августа 2012 г. N 1153 "О внесении изменения в Положение о Государственном совете Российской Федерации, утвержденное Указом Президента Российской Федерации от 1 сентября 2000 г. N 1602, и о признании утратившим силу пункта 3 Указа Президента Российской Федерации от 23 июня 2008 г. N 992" (Собрание законодательства Российской Федерации, 2012, N 33, ст. 4632);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Указ</w:t>
        </w:r>
      </w:hyperlink>
      <w:r>
        <w:t xml:space="preserve"> Президента Российской Федерации от 9 апреля 2014 г. N 220 "О внесении изменения в Положение о Государственном совете Российской Федерации, утвержденное Указом Президента Российской Федерации от 1 сентября 2000 г. N 1602" (Собрание законодательства Российской Федерации, 2014, N 15, ст. 1728);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Указ</w:t>
        </w:r>
      </w:hyperlink>
      <w:r>
        <w:t xml:space="preserve"> Президента Российской Федерации от 22 ноября 2016 г. N 615 "О внесении изменения в Положение о Государственном совете Российской Федерации, утвержденное Указом Президента Российской Федерации от 1 сентября 2000 г. N 1602" (Собрание законодательства Российской Федерации, 2016, N 48, ст. 6750);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22">
        <w:proofErr w:type="gramStart"/>
        <w:r>
          <w:rPr>
            <w:color w:val="0000FF"/>
          </w:rPr>
          <w:t>распоряжение</w:t>
        </w:r>
        <w:proofErr w:type="gramEnd"/>
      </w:hyperlink>
      <w:r>
        <w:t xml:space="preserve"> Президента Российской Федерации от 27 декабря 2018 г. N 404-рп "О рабочих группах Государственного совета Российской Федерации" (Собрание законодательства Российской Федерации, 2018, N 53, ст. 8632);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23">
        <w:proofErr w:type="gramStart"/>
        <w:r>
          <w:rPr>
            <w:color w:val="0000FF"/>
          </w:rPr>
          <w:t>распоряжение</w:t>
        </w:r>
        <w:proofErr w:type="gramEnd"/>
      </w:hyperlink>
      <w:r>
        <w:t xml:space="preserve"> Президента Российской Федерации от 1 мая 2019 г. N 128-рп "Об утверждении состава консультативной комиссии Государственного совета Российской Федерации" (Собрание законодательства Российской Федерации, 2019, N 18, ст. 2233);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24">
        <w:proofErr w:type="gramStart"/>
        <w:r>
          <w:rPr>
            <w:color w:val="0000FF"/>
          </w:rPr>
          <w:t>распоряжение</w:t>
        </w:r>
        <w:proofErr w:type="gramEnd"/>
      </w:hyperlink>
      <w:r>
        <w:t xml:space="preserve"> Президента Российской Федерации от 18 марта 2020 г. N 76-рп "О внесении изменения в распоряжение Президента Российской Федерации от 27 декабря 2018 г. N 404-рп "О рабочих группах Государственного совета Российской Федерации" (Собрание законодательства Российской Федерации, 2020, N 12, ст. 1760);</w:t>
      </w:r>
    </w:p>
    <w:p w:rsidR="00FB4711" w:rsidRDefault="00FB4711">
      <w:pPr>
        <w:pStyle w:val="ConsPlusNormal"/>
        <w:spacing w:before="220"/>
        <w:ind w:firstLine="540"/>
        <w:jc w:val="both"/>
      </w:pPr>
      <w:hyperlink r:id="rId25">
        <w:proofErr w:type="gramStart"/>
        <w:r>
          <w:rPr>
            <w:color w:val="0000FF"/>
          </w:rPr>
          <w:t>распоряжение</w:t>
        </w:r>
        <w:proofErr w:type="gramEnd"/>
      </w:hyperlink>
      <w:r>
        <w:t xml:space="preserve"> Президента Российской Федерации от 18 марта 2020 г. N 77-рп "О внесении изменений в состав консультативной комиссии Государственного совета Российской Федерации, утвержденный распоряжением Президента Российской Федерации от 1 мая 2019 г. N 128-рп" (Собрание законодательства Российской Федерации, 2020, N 12, ст. 1761).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6. Настоящий Указ вступает в силу со дня его подписания.</w:t>
      </w: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jc w:val="right"/>
      </w:pPr>
      <w:r>
        <w:t>Президент</w:t>
      </w:r>
    </w:p>
    <w:p w:rsidR="00FB4711" w:rsidRDefault="00FB4711">
      <w:pPr>
        <w:pStyle w:val="ConsPlusNormal"/>
        <w:jc w:val="right"/>
      </w:pPr>
      <w:r>
        <w:t>Российской Федерации</w:t>
      </w:r>
    </w:p>
    <w:p w:rsidR="00FB4711" w:rsidRDefault="00FB4711">
      <w:pPr>
        <w:pStyle w:val="ConsPlusNormal"/>
        <w:jc w:val="right"/>
      </w:pPr>
      <w:r>
        <w:t>В.ПУТИН</w:t>
      </w:r>
    </w:p>
    <w:p w:rsidR="00FB4711" w:rsidRDefault="00FB4711">
      <w:pPr>
        <w:pStyle w:val="ConsPlusNormal"/>
      </w:pPr>
      <w:r>
        <w:t>Москва, Кремль</w:t>
      </w:r>
    </w:p>
    <w:p w:rsidR="00FB4711" w:rsidRDefault="00FB4711">
      <w:pPr>
        <w:pStyle w:val="ConsPlusNormal"/>
        <w:spacing w:before="220"/>
      </w:pPr>
      <w:r>
        <w:t>21 декабря 2020 года</w:t>
      </w:r>
    </w:p>
    <w:p w:rsidR="00FB4711" w:rsidRDefault="00FB4711">
      <w:pPr>
        <w:pStyle w:val="ConsPlusNormal"/>
        <w:spacing w:before="220"/>
      </w:pPr>
      <w:r>
        <w:t>N 800</w:t>
      </w: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jc w:val="right"/>
        <w:outlineLvl w:val="0"/>
      </w:pPr>
      <w:r>
        <w:t>Утверждено</w:t>
      </w:r>
    </w:p>
    <w:p w:rsidR="00FB4711" w:rsidRDefault="00FB4711">
      <w:pPr>
        <w:pStyle w:val="ConsPlusNormal"/>
        <w:jc w:val="right"/>
      </w:pPr>
      <w:r>
        <w:t>Указом Президента</w:t>
      </w:r>
    </w:p>
    <w:p w:rsidR="00FB4711" w:rsidRDefault="00FB4711">
      <w:pPr>
        <w:pStyle w:val="ConsPlusNormal"/>
        <w:jc w:val="right"/>
      </w:pPr>
      <w:r>
        <w:t>Российской Федерации</w:t>
      </w:r>
    </w:p>
    <w:p w:rsidR="00FB4711" w:rsidRDefault="00FB4711">
      <w:pPr>
        <w:pStyle w:val="ConsPlusNormal"/>
        <w:jc w:val="right"/>
      </w:pPr>
      <w:proofErr w:type="gramStart"/>
      <w:r>
        <w:t>от</w:t>
      </w:r>
      <w:proofErr w:type="gramEnd"/>
      <w:r>
        <w:t xml:space="preserve"> 21 декабря 2020 г. N 800</w:t>
      </w: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Title"/>
        <w:jc w:val="center"/>
      </w:pPr>
      <w:bookmarkStart w:id="0" w:name="P48"/>
      <w:bookmarkEnd w:id="0"/>
      <w:r>
        <w:t>ПОЛОЖЕНИЕ</w:t>
      </w:r>
    </w:p>
    <w:p w:rsidR="00FB4711" w:rsidRDefault="00FB4711">
      <w:pPr>
        <w:pStyle w:val="ConsPlusTitle"/>
        <w:jc w:val="center"/>
      </w:pPr>
      <w:r>
        <w:t>О РАБОЧИХ ОРГАНАХ ГОСУДАРСТВЕННОГО СОВЕТА РОССИЙСКОЙ</w:t>
      </w:r>
    </w:p>
    <w:p w:rsidR="00FB4711" w:rsidRDefault="00FB4711">
      <w:pPr>
        <w:pStyle w:val="ConsPlusTitle"/>
        <w:jc w:val="center"/>
      </w:pPr>
      <w:r>
        <w:t>ФЕДЕРАЦИИ И СЕКРЕТАРЕ ГОСУДАРСТВЕННОГО СОВЕТА</w:t>
      </w:r>
    </w:p>
    <w:p w:rsidR="00FB4711" w:rsidRDefault="00FB4711">
      <w:pPr>
        <w:pStyle w:val="ConsPlusTitle"/>
        <w:jc w:val="center"/>
      </w:pPr>
      <w:r>
        <w:t>РОССИЙСКОЙ ФЕДЕРАЦИИ</w:t>
      </w:r>
    </w:p>
    <w:p w:rsidR="00FB4711" w:rsidRDefault="00FB471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47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4711" w:rsidRDefault="00FB471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4711" w:rsidRDefault="00FB471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4711" w:rsidRDefault="00FB47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4711" w:rsidRDefault="00FB4711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Указов Президента РФ от 09.09.2024 </w:t>
            </w:r>
            <w:hyperlink r:id="rId26">
              <w:r>
                <w:rPr>
                  <w:color w:val="0000FF"/>
                </w:rPr>
                <w:t>N 764</w:t>
              </w:r>
            </w:hyperlink>
            <w:r>
              <w:rPr>
                <w:color w:val="392C69"/>
              </w:rPr>
              <w:t>,</w:t>
            </w:r>
          </w:p>
          <w:p w:rsidR="00FB4711" w:rsidRDefault="00FB47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16.09.2024 </w:t>
            </w:r>
            <w:hyperlink r:id="rId27">
              <w:r>
                <w:rPr>
                  <w:color w:val="0000FF"/>
                </w:rPr>
                <w:t>N 795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4711" w:rsidRDefault="00FB4711">
            <w:pPr>
              <w:pStyle w:val="ConsPlusNormal"/>
            </w:pPr>
          </w:p>
        </w:tc>
      </w:tr>
    </w:tbl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ind w:firstLine="540"/>
        <w:jc w:val="both"/>
      </w:pPr>
      <w:r>
        <w:t xml:space="preserve">1. Рабочие органы Государственного Совета Российской Федерации (далее - Государственный Совет) и Секретарь Государственного Совета в своей деятельности руководствуются </w:t>
      </w:r>
      <w:hyperlink r:id="rId2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от 8 декабря 2020 г. N 394-ФЗ "О Государственном Совете Российской Федерации", другими федеральными законами, настоящим Положением, иными нормативными правовыми актами и решениями Президента Российской Федерации.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2. Секретарь Государственного Совета Российской Федерации: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координирует деятельность рабочих органов Государственного Совета;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несет ответственность за обеспечение деятельности Государственного Совета;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обеспечивает подготовку проекта плана работы Государственного Совета, составляет проекты повестки дня заседаний Государственного Совета и Президиума Государственного Совета, организует подготовку материалов к заседаниям Государственного Совета и Президиума Государственного Совета, а также проектов соответствующих решений;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организует обеспечение участников заседаний Государственного Совета и Президиума Государственного Совета необходимыми материалами;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исполняет поручения Председателя Государственного Совета.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3. Рабочими органами Государственного Совета являются: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комиссии Государственного Совета по направлениям социально-экономического развития Российской Федерации (далее - комиссии по направлениям социально-экономического развития);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комиссия Государственного Совета по обеспечению согласованного функционирования и взаимодействия органов публичной власти;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комиссия Государственного Совета по координации и оценке эффективности деятельности исполнительных органов субъектов Российской Федерации;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"в" в ред. </w:t>
      </w:r>
      <w:hyperlink r:id="rId30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рабочие группы Государственного Совета.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4. На комиссии по направлениям социально-экономического развития возлагаются следующие функции: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подготовка материалов к заседаниям Государственного Совета и Президиума Государственного Совета по вопросам, относящимся к компетенции соответствующей комиссии;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анализ практик государственного и муниципального управления в соответствующей сфере социально-экономического развития и подготовка для Государственного Совета предложений по совершенствованию законодательства и названных практик;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анализ и оценка результатов реализации федеральных и региональных проектов в соответствующей сфере социально-экономического развития, подготовка для Государственного Совета предложений по совершенствованию деятельности органов государственной власти субъектов Российской Федерации при решении вопросов, относящихся к компетенции соответствующей комиссии;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обобщение и представление в Государственный Совет информации по вопросам, </w:t>
      </w:r>
      <w:r>
        <w:lastRenderedPageBreak/>
        <w:t>относящимся к компетенции соответствующей комиссии;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научно-методическое и экспертно-аналитическое обеспечение деятельности Государственного Совета по вопросам, относящимся к компетенции соответствующей комиссии;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координация деятельности, связанной с проведением научно-исследовательских работ и подготовкой целевых программ по вопросам, относящимся к компетенции соответствующей комиссии, а также с осуществлением контроля за реализацией таких программ.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5. Комиссии по направлениям социально-экономического развития реализуют свои функции во взаимодействии с федеральными органами исполнительной власти, осуществляющими полномочия в соответствующих сферах социально-экономического развития.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6. В составы комиссий по направлениям социально-экономического развития входят представители федеральных органов государственной власти, органов государственной власти субъектов Российской Федерации, иных государственных органов, органов местного самоуправления и организаций, в том числе не являющиеся членами Государственного Совета.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7. Составы комиссий по направлениям социально-экономического развития утверждаются председателями этих комиссий.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8. Председатели комиссий по направлениям социально-экономического развития организуют деятельность комиссий, распределяют обязанности между их членами, определяют планы работы комиссий, состав участников заседаний комиссий и ведут заседания, а также взаимодействуют по вопросам, относящимся к компетенции соответствующей комиссии, с руководителями федеральных органов государственной власти, органов государственной власти субъектов Российской Федерации, других государственных органов, органов местного самоуправления и организаций.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9. Председатели комиссий по направлениям социально-экономического развития и члены этих комиссий осуществляют свою деятельность на общественных началах.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10. Председатели комиссий по направлениям социально-экономического развития входят в составы советов при Президенте Российской Федерации, участвуют в совещаниях Президента Российской Федерации с членами Правительства Российской Федерации при рассмотрении вопросов, относящихся к компетенции соответствующей комиссии, приглашаются на заседания Правительства Российской Федерации и на заседания президиума Совета при Президенте Российской Федерации по стратегическому развитию и национальным проектам при рассмотрении вопросов, относящихся к компетенции соответствующей комиссии.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11. На комиссию Государственного Совета по обеспечению согласованного функционирования и взаимодействия органов публичной власти возлагаются следующие функции: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рассмотрение вопросов, касающихся согласованного функционирования и взаимодействия федеральных органов государственной власти, органов государственной власти субъектов Российской Федерации и органов местного самоуправления, в том числе по вопросам передачи полномочий между названными органами;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подготовка для Государственного Совета предложений по использованию Президентом Российской Федерации согласительных процедур для разрешения разногласий между органами, входящими в единую систему публичной власти;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подготовка для Государственного Совета предложений по совершенствованию деятельности органов, входящих в единую систему публичной власти.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 xml:space="preserve">12. На комиссию Государственного Совета по координации и оценке эффективности </w:t>
      </w:r>
      <w:r>
        <w:lastRenderedPageBreak/>
        <w:t>деятельности исполнительных органов субъектов Российской Федерации возлагаются следующие функции: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рассмотрение вопросов о повышении эффективности деятельности высших должностных лиц субъектов Российской Федерации, глав муниципальных образований (глав местных администраций);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участие в разработке критериев и показателей эффективности деятельности высших должностных лиц субъектов Российской Федерации и исполнительных органов субъектов Российской Федерации, а также органов местного самоуправления;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"б" в ред. </w:t>
      </w:r>
      <w:hyperlink r:id="rId33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подготовка предложений по методикам расчета и значениям (уровням) планируемых на отчетный (текущий год) и плановый периоды показателей эффективности деятельности высших должностных лиц субъектов Российской Федерации и исполнительных органов субъектов Российской Федерации, а также органов местного самоуправления;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"в" в ред. </w:t>
      </w:r>
      <w:hyperlink r:id="rId34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рассмотрение вопросов, связанных с обоснованием и при необходимости защитой планируемых на отчетный (текущий год) и плановый периоды и достигнутых субъектами Российской Федерации за отчетный период (прошедший год) значений (уровней) показателей эффективности деятельности;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подготовка предложений по разработке и определению мер поощрения субъектов Российской Федерации и муниципальных образований в целях содействия достижению и (или) поощрения достижения ими наилучших значений (уровней) показателей деятельности;</w:t>
      </w:r>
    </w:p>
    <w:p w:rsidR="00FB4711" w:rsidRDefault="00FB4711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рассмотрение вопросов, касающихся обеспечения устойчивости и сбалансированности бюджетов субъектов Российской Федерации.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13. Персональный состав комиссии Государственного Совета по обеспечению согласованного функционирования и взаимодействия органов публичной власти и персональный состав комиссии Государственного Совета по координации и оценке эффективности деятельности исполнительных органов субъектов Российской Федерации утверждаются Председателем Государственного Совета.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14. Решения комиссий по направлениям социально-экономического развития, комиссии Государственного Совета по обеспечению согласованного функционирования и взаимодействия органов публичной власти и комиссии Государственного Совета по координации и оценке эффективности деятельности исполнительных органов субъектов Российской Федерации (далее - комиссии Государственного Совета) оформляются протоколами, которые утверждаются председателями комиссий. Решения направляются Секретарю Государственного Совета и участникам заседаний комиссий.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15. Члены комиссий Государственного Совета обладают равными правами при обсуждении вопросов, рассматриваемых на заседании комиссии. В случае несогласия с принятым решением член комиссии Государственного Совета вправе изложить в письменном виде свое мнение, которое подлежит обязательному приобщению к протоколу.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16. Рабочие группы Государственного Совета (далее - рабочие группы) создаются на период подготовки материалов к заседанию Государственного Совета или Президиума Государственного Совета в соответствии с планом работы Государственного Совета.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lastRenderedPageBreak/>
        <w:t>17. Руководители рабочих групп назначаются из числа членов Государственного Совета - высших должностных лиц субъектов Российской Федерации.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>
        <w:r>
          <w:rPr>
            <w:color w:val="0000FF"/>
          </w:rPr>
          <w:t>Указа</w:t>
        </w:r>
      </w:hyperlink>
      <w:r>
        <w:t xml:space="preserve"> Президента РФ от 09.09.2024 N 764)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18. Персональные составы рабочих групп и порядок их работы утверждаются руководителями рабочих групп.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19. Руководители рабочих групп осуществляют свою деятельность во взаимодействии с председателями комиссий Государственного Совета.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20. Рабочие группы при осуществлении своей деятельности пользуются базами данных и иными информационно-аналитическими ресурсами комиссий Государственного Совета.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21. Решения рабочих групп утверждаются их руководителями и направляются Секретарю Государственного Совета и членам рабочих групп. В случае если в таких решениях затрагиваются вопросы, входящие в компетенцию комиссий Государственного Совета, решения направляются также председателям комиссий Государственного Совета.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22. Для научно-методического и экспертно-аналитического обеспечения деятельности рабочих органов Государственного Совета по решению их руководителей могут создаваться экспертные и научные советы, а также привлекаться специалисты, в том числе на договорной основе. Для обеспечения деятельности рабочих органов Государственного Совета также может быть создана автономная некоммерческая организация при Управлении делами Президента Российской Федерации.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23. Информационно-аналитическое сопровождение деятельности рабочих органов Государственного Совета обеспечивает информационно-аналитическая система "Государственный Совет".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24. Рабочие органы Государственного Совета для реализации своих функций имеют право пользоваться в установленном порядке базами данных Администрации Президента Российской Федерации, федеральных органов государственной власти, органов государственной власти субъектов Российской Федерации, органов местного самоуправления, а также использовать государственные, в том числе правительственные, системы связи и коммуникации, ресурсы государственных информационных систем.</w:t>
      </w:r>
    </w:p>
    <w:p w:rsidR="00FB4711" w:rsidRDefault="00FB4711">
      <w:pPr>
        <w:pStyle w:val="ConsPlusNormal"/>
        <w:spacing w:before="220"/>
        <w:ind w:firstLine="540"/>
        <w:jc w:val="both"/>
      </w:pPr>
      <w:r>
        <w:t>25. Обеспечение деятельности Государственного Совета и его рабочих органов осуществляют Управление Президента Российской Федерации по вопросам формирования и деятельности Государственного Совета Российской Федерации во взаимодействии с другими самостоятельными подразделениями Администрации Президента Российской Федерации и Управление делами Президента Российской Федерации.</w:t>
      </w:r>
    </w:p>
    <w:p w:rsidR="00FB4711" w:rsidRDefault="00FB471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>
        <w:r>
          <w:rPr>
            <w:color w:val="0000FF"/>
          </w:rPr>
          <w:t>Указа</w:t>
        </w:r>
      </w:hyperlink>
      <w:r>
        <w:t xml:space="preserve"> Президента РФ от 16.09.2024 N 795)</w:t>
      </w: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jc w:val="both"/>
      </w:pPr>
    </w:p>
    <w:p w:rsidR="00FB4711" w:rsidRDefault="00FB471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3E8A" w:rsidRDefault="005C3E8A">
      <w:bookmarkStart w:id="1" w:name="_GoBack"/>
      <w:bookmarkEnd w:id="1"/>
    </w:p>
    <w:sectPr w:rsidR="005C3E8A" w:rsidSect="004A1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711"/>
    <w:rsid w:val="005C3E8A"/>
    <w:rsid w:val="00FB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00906-7756-4E90-94D8-42103F47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47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B471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B471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4246&amp;dst=100052" TargetMode="External"/><Relationship Id="rId18" Type="http://schemas.openxmlformats.org/officeDocument/2006/relationships/hyperlink" Target="https://login.consultant.ru/link/?req=doc&amp;base=LAW&amp;n=132448" TargetMode="External"/><Relationship Id="rId26" Type="http://schemas.openxmlformats.org/officeDocument/2006/relationships/hyperlink" Target="https://login.consultant.ru/link/?req=doc&amp;base=LAW&amp;n=485380&amp;dst=100006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207429" TargetMode="External"/><Relationship Id="rId34" Type="http://schemas.openxmlformats.org/officeDocument/2006/relationships/hyperlink" Target="https://login.consultant.ru/link/?req=doc&amp;base=LAW&amp;n=485380&amp;dst=100015" TargetMode="External"/><Relationship Id="rId7" Type="http://schemas.openxmlformats.org/officeDocument/2006/relationships/hyperlink" Target="https://login.consultant.ru/link/?req=doc&amp;base=LAW&amp;n=481368&amp;dst=100014" TargetMode="External"/><Relationship Id="rId12" Type="http://schemas.openxmlformats.org/officeDocument/2006/relationships/hyperlink" Target="https://login.consultant.ru/link/?req=doc&amp;base=LAW&amp;n=370105&amp;dst=100069" TargetMode="External"/><Relationship Id="rId17" Type="http://schemas.openxmlformats.org/officeDocument/2006/relationships/hyperlink" Target="https://login.consultant.ru/link/?req=doc&amp;base=LAW&amp;n=98151" TargetMode="External"/><Relationship Id="rId25" Type="http://schemas.openxmlformats.org/officeDocument/2006/relationships/hyperlink" Target="https://login.consultant.ru/link/?req=doc&amp;base=EXP&amp;n=740647" TargetMode="External"/><Relationship Id="rId33" Type="http://schemas.openxmlformats.org/officeDocument/2006/relationships/hyperlink" Target="https://login.consultant.ru/link/?req=doc&amp;base=LAW&amp;n=485380&amp;dst=100013" TargetMode="External"/><Relationship Id="rId38" Type="http://schemas.openxmlformats.org/officeDocument/2006/relationships/hyperlink" Target="https://login.consultant.ru/link/?req=doc&amp;base=LAW&amp;n=485839&amp;dst=100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66398" TargetMode="External"/><Relationship Id="rId20" Type="http://schemas.openxmlformats.org/officeDocument/2006/relationships/hyperlink" Target="https://login.consultant.ru/link/?req=doc&amp;base=LAW&amp;n=161585" TargetMode="External"/><Relationship Id="rId29" Type="http://schemas.openxmlformats.org/officeDocument/2006/relationships/hyperlink" Target="https://login.consultant.ru/link/?req=doc&amp;base=LAW&amp;n=370105&amp;dst=1000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8361&amp;dst=100006" TargetMode="External"/><Relationship Id="rId11" Type="http://schemas.openxmlformats.org/officeDocument/2006/relationships/hyperlink" Target="https://login.consultant.ru/link/?req=doc&amp;base=LAW&amp;n=370105&amp;dst=100052" TargetMode="External"/><Relationship Id="rId24" Type="http://schemas.openxmlformats.org/officeDocument/2006/relationships/hyperlink" Target="https://login.consultant.ru/link/?req=doc&amp;base=EXP&amp;n=740646" TargetMode="External"/><Relationship Id="rId32" Type="http://schemas.openxmlformats.org/officeDocument/2006/relationships/hyperlink" Target="https://login.consultant.ru/link/?req=doc&amp;base=LAW&amp;n=485380&amp;dst=100012" TargetMode="External"/><Relationship Id="rId37" Type="http://schemas.openxmlformats.org/officeDocument/2006/relationships/hyperlink" Target="https://login.consultant.ru/link/?req=doc&amp;base=LAW&amp;n=485380&amp;dst=100019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00423&amp;dst=100006" TargetMode="External"/><Relationship Id="rId15" Type="http://schemas.openxmlformats.org/officeDocument/2006/relationships/hyperlink" Target="https://login.consultant.ru/link/?req=doc&amp;base=LAW&amp;n=112161&amp;dst=100049" TargetMode="External"/><Relationship Id="rId23" Type="http://schemas.openxmlformats.org/officeDocument/2006/relationships/hyperlink" Target="https://login.consultant.ru/link/?req=doc&amp;base=EXP&amp;n=740682" TargetMode="External"/><Relationship Id="rId28" Type="http://schemas.openxmlformats.org/officeDocument/2006/relationships/hyperlink" Target="https://login.consultant.ru/link/?req=doc&amp;base=LAW&amp;n=2875" TargetMode="External"/><Relationship Id="rId36" Type="http://schemas.openxmlformats.org/officeDocument/2006/relationships/hyperlink" Target="https://login.consultant.ru/link/?req=doc&amp;base=LAW&amp;n=485380&amp;dst=100018" TargetMode="External"/><Relationship Id="rId10" Type="http://schemas.openxmlformats.org/officeDocument/2006/relationships/hyperlink" Target="https://login.consultant.ru/link/?req=doc&amp;base=LAW&amp;n=485839&amp;dst=100009" TargetMode="External"/><Relationship Id="rId19" Type="http://schemas.openxmlformats.org/officeDocument/2006/relationships/hyperlink" Target="https://login.consultant.ru/link/?req=doc&amp;base=LAW&amp;n=133913" TargetMode="External"/><Relationship Id="rId31" Type="http://schemas.openxmlformats.org/officeDocument/2006/relationships/hyperlink" Target="https://login.consultant.ru/link/?req=doc&amp;base=LAW&amp;n=485380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5380&amp;dst=100006" TargetMode="External"/><Relationship Id="rId14" Type="http://schemas.openxmlformats.org/officeDocument/2006/relationships/hyperlink" Target="https://login.consultant.ru/link/?req=doc&amp;base=LAW&amp;n=207482&amp;dst=100008" TargetMode="External"/><Relationship Id="rId22" Type="http://schemas.openxmlformats.org/officeDocument/2006/relationships/hyperlink" Target="https://login.consultant.ru/link/?req=doc&amp;base=EXP&amp;n=740684" TargetMode="External"/><Relationship Id="rId27" Type="http://schemas.openxmlformats.org/officeDocument/2006/relationships/hyperlink" Target="https://login.consultant.ru/link/?req=doc&amp;base=LAW&amp;n=485839&amp;dst=100009" TargetMode="External"/><Relationship Id="rId30" Type="http://schemas.openxmlformats.org/officeDocument/2006/relationships/hyperlink" Target="https://login.consultant.ru/link/?req=doc&amp;base=LAW&amp;n=485380&amp;dst=100007" TargetMode="External"/><Relationship Id="rId35" Type="http://schemas.openxmlformats.org/officeDocument/2006/relationships/hyperlink" Target="https://login.consultant.ru/link/?req=doc&amp;base=LAW&amp;n=485380&amp;dst=100017" TargetMode="External"/><Relationship Id="rId8" Type="http://schemas.openxmlformats.org/officeDocument/2006/relationships/hyperlink" Target="https://login.consultant.ru/link/?req=doc&amp;base=LAW&amp;n=494246&amp;dst=100052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2873</Words>
  <Characters>16380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Ратнер Вера Николаевна</dc:creator>
  <cp:keywords/>
  <dc:description/>
  <cp:lastModifiedBy>Ратнер Вера Николаевна</cp:lastModifiedBy>
  <cp:revision>1</cp:revision>
  <dcterms:created xsi:type="dcterms:W3CDTF">2025-02-14T06:35:00Z</dcterms:created>
  <dcterms:modified xsi:type="dcterms:W3CDTF">2025-02-14T06:35:00Z</dcterms:modified>
</cp:coreProperties>
</file>