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tabs>
          <w:tab w:val="clear" w:pos="708"/>
          <w:tab w:val="left" w:pos="8222" w:leader="none"/>
        </w:tabs>
        <w:ind w:firstLine="709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32">
                <wp:simplePos x="0" y="0"/>
                <wp:positionH relativeFrom="page">
                  <wp:posOffset>906780</wp:posOffset>
                </wp:positionH>
                <wp:positionV relativeFrom="page">
                  <wp:posOffset>10003155</wp:posOffset>
                </wp:positionV>
                <wp:extent cx="2743200" cy="182880"/>
                <wp:effectExtent l="0" t="0" r="0" b="0"/>
                <wp:wrapSquare wrapText="bothSides"/>
                <wp:docPr id="1" name="_x005F_x0000_s10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82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36360" rIns="36360" tIns="36360" bIns="3636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_x005F_x0000_s1028" path="m0,0l-2147483645,0l-2147483645,-2147483646l0,-2147483646xe" stroked="f" o:allowincell="f" style="position:absolute;margin-left:71.4pt;margin-top:787.65pt;width:215.95pt;height:14.3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Normal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4">
                <wp:simplePos x="0" y="0"/>
                <wp:positionH relativeFrom="page">
                  <wp:posOffset>1440815</wp:posOffset>
                </wp:positionH>
                <wp:positionV relativeFrom="page">
                  <wp:posOffset>2045970</wp:posOffset>
                </wp:positionV>
                <wp:extent cx="1292225" cy="274320"/>
                <wp:effectExtent l="0" t="0" r="0" b="0"/>
                <wp:wrapNone/>
                <wp:docPr id="2" name="_x005F_x0000_s10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2400" cy="27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color w:val="000000"/>
                                <w:lang w:val="ru-RU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36360" rIns="36360" tIns="36360" bIns="3636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_x005F_x0000_s1027" path="m0,0l-2147483645,0l-2147483645,-2147483646l0,-2147483646xe" stroked="f" o:allowincell="f" style="position:absolute;margin-left:113.45pt;margin-top:161.1pt;width:101.7pt;height:21.5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6"/>
                        <w:rPr>
                          <w:lang w:val="ru-RU"/>
                        </w:rPr>
                      </w:pPr>
                      <w:r>
                        <w:rPr>
                          <w:color w:val="000000"/>
                          <w:lang w:val="ru-RU"/>
                        </w:rPr>
                      </w:r>
                    </w:p>
                    <w:p>
                      <w:pPr>
                        <w:pStyle w:val="Normal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6">
                <wp:simplePos x="0" y="0"/>
                <wp:positionH relativeFrom="page">
                  <wp:posOffset>5241290</wp:posOffset>
                </wp:positionH>
                <wp:positionV relativeFrom="page">
                  <wp:posOffset>2017395</wp:posOffset>
                </wp:positionV>
                <wp:extent cx="2161540" cy="274320"/>
                <wp:effectExtent l="0" t="0" r="0" b="0"/>
                <wp:wrapNone/>
                <wp:docPr id="3" name="_x005F_x0000_s10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1440" cy="27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36360" rIns="36360" tIns="36360" bIns="3636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_x005F_x0000_s1026" path="m0,0l-2147483645,0l-2147483645,-2147483646l0,-2147483646xe" stroked="f" o:allowincell="f" style="position:absolute;margin-left:412.7pt;margin-top:158.85pt;width:170.15pt;height:21.5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6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Normal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8">
                <wp:simplePos x="0" y="0"/>
                <wp:positionH relativeFrom="page">
                  <wp:posOffset>906780</wp:posOffset>
                </wp:positionH>
                <wp:positionV relativeFrom="page">
                  <wp:posOffset>2854960</wp:posOffset>
                </wp:positionV>
                <wp:extent cx="2613025" cy="1671955"/>
                <wp:effectExtent l="0" t="0" r="0" b="0"/>
                <wp:wrapNone/>
                <wp:docPr id="4" name="_x005F_x0000_s10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880" cy="1671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spacing w:lineRule="exact" w:line="240"/>
                              <w:jc w:val="left"/>
                              <w:rPr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Fonts w:eastAsia="Calibri"/>
                                <w:b w:val="false"/>
                                <w:bCs w:val="false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«Об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схемы»</w:t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36360" rIns="36360" tIns="36360" bIns="3636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_x005F_x0000_s1025" path="m0,0l-2147483645,0l-2147483645,-2147483646l0,-2147483646xe" stroked="f" o:allowincell="f" style="position:absolute;margin-left:71.4pt;margin-top:224.8pt;width:205.7pt;height:131.6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"/>
                        <w:spacing w:lineRule="exact" w:line="240"/>
                        <w:jc w:val="left"/>
                        <w:rPr>
                          <w:b w:val="false"/>
                          <w:bCs w:val="false"/>
                        </w:rPr>
                      </w:pPr>
                      <w:r>
                        <w:rPr>
                          <w:rFonts w:eastAsia="Calibri"/>
                          <w:b w:val="false"/>
                          <w:bCs w:val="false"/>
                          <w:color w:val="000000"/>
                          <w:sz w:val="28"/>
                          <w:szCs w:val="28"/>
                          <w:lang w:eastAsia="en-US"/>
                        </w:rPr>
                        <w:t>«Об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схемы»</w:t>
                      </w:r>
                    </w:p>
                    <w:p>
                      <w:pPr>
                        <w:pStyle w:val="Normal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114300" distR="114300" simplePos="0" locked="0" layoutInCell="0" allowOverlap="1" relativeHeight="40">
            <wp:simplePos x="0" y="0"/>
            <wp:positionH relativeFrom="page">
              <wp:posOffset>900430</wp:posOffset>
            </wp:positionH>
            <wp:positionV relativeFrom="page">
              <wp:posOffset>232410</wp:posOffset>
            </wp:positionV>
            <wp:extent cx="5636895" cy="2622550"/>
            <wp:effectExtent l="0" t="0" r="0" b="0"/>
            <wp:wrapTopAndBottom/>
            <wp:docPr id="5" name="_x005F_x0000_s10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5F_x0000_s103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895" cy="262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clear" w:pos="708"/>
          <w:tab w:val="left" w:pos="8222" w:leader="none"/>
        </w:tabs>
        <w:ind w:firstLine="709"/>
        <w:rPr/>
      </w:pPr>
      <w:r>
        <w:rPr/>
      </w:r>
    </w:p>
    <w:p>
      <w:pPr>
        <w:pStyle w:val="BodyText"/>
        <w:tabs>
          <w:tab w:val="clear" w:pos="708"/>
          <w:tab w:val="left" w:pos="8222" w:leader="none"/>
        </w:tabs>
        <w:ind w:firstLine="709"/>
        <w:rPr/>
      </w:pPr>
      <w:r>
        <w:rPr/>
      </w:r>
    </w:p>
    <w:p>
      <w:pPr>
        <w:pStyle w:val="BodyText"/>
        <w:tabs>
          <w:tab w:val="clear" w:pos="708"/>
          <w:tab w:val="left" w:pos="8222" w:leader="none"/>
        </w:tabs>
        <w:ind w:firstLine="709"/>
        <w:rPr/>
      </w:pPr>
      <w:r>
        <w:rPr/>
      </w:r>
    </w:p>
    <w:p>
      <w:pPr>
        <w:pStyle w:val="Normal"/>
        <w:tabs>
          <w:tab w:val="clear" w:pos="708"/>
          <w:tab w:val="left" w:pos="8222" w:leader="none"/>
        </w:tabs>
        <w:ind w:firstLine="709"/>
        <w:rPr/>
      </w:pPr>
      <w:r>
        <w:rPr/>
      </w:r>
    </w:p>
    <w:p>
      <w:pPr>
        <w:pStyle w:val="Normal"/>
        <w:tabs>
          <w:tab w:val="clear" w:pos="708"/>
          <w:tab w:val="left" w:pos="8222" w:leader="none"/>
        </w:tabs>
        <w:spacing w:lineRule="exact" w:line="360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8222" w:leader="none"/>
        </w:tabs>
        <w:spacing w:lineRule="exact" w:line="360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spacing w:lineRule="exact" w:line="360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>
          <w:szCs w:val="28"/>
        </w:rPr>
        <w:t xml:space="preserve">В соответствии с Федеральным законом от 30 января 2026 г. </w:t>
        <w:br/>
        <w:t xml:space="preserve">№ 14-ФЗ «О внесении изменений в Федеральный закон «Об основах государственного регулирования торговой деятельности в Российской </w:t>
        <w:br/>
        <w:t xml:space="preserve">Федерации», Федеральным законом от 28 декабря 2009 г. № 381 </w:t>
        <w:br/>
        <w:t xml:space="preserve">«Об основах государственного регулирования торговой деятельности </w:t>
        <w:br/>
        <w:t xml:space="preserve">в Российской Федерации», Законом Пермского края от 30 марта 2026 г. </w:t>
        <w:br/>
        <w:t>№ 522-ПК</w:t>
      </w:r>
      <w:r>
        <w:rPr>
          <w:rFonts w:eastAsia="Calibri"/>
          <w:szCs w:val="28"/>
          <w:lang w:eastAsia="en-US"/>
        </w:rPr>
        <w:t xml:space="preserve"> «</w:t>
      </w:r>
      <w:r>
        <w:rPr>
          <w:rStyle w:val="PlaceholderText"/>
          <w:color w:val="auto"/>
          <w:szCs w:val="28"/>
        </w:rPr>
        <w:t xml:space="preserve">О внесении изменений в статью 4 Закона Пермского края </w:t>
        <w:br/>
        <w:t>«Об отдельных вопросах организации публичной власти Пермского края»</w:t>
      </w:r>
    </w:p>
    <w:p>
      <w:pPr>
        <w:pStyle w:val="Normal"/>
        <w:tabs>
          <w:tab w:val="clear" w:pos="708"/>
          <w:tab w:val="left" w:pos="8222" w:leader="none"/>
        </w:tabs>
        <w:ind w:firstLine="709"/>
        <w:jc w:val="both"/>
        <w:rPr>
          <w:color w:val="000000"/>
        </w:rPr>
      </w:pPr>
      <w:r>
        <w:rPr>
          <w:color w:val="000000"/>
        </w:rPr>
        <w:t>ПРИКАЗЫВАЮ: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 xml:space="preserve">1. Утвердить прилагаемый Порядок включения нестационарных </w:t>
        <w:br/>
        <w:t xml:space="preserve">торговых объектов, размещенных на земельных участках, находящихся </w:t>
        <w:br/>
        <w:t xml:space="preserve">в частной собственности, в схему размещения нестационарных торговых объектов и исключения таких объектов из этой схемы (далее </w:t>
        <w:br/>
      </w:r>
      <w:r>
        <w:rPr>
          <w:sz w:val="28"/>
          <w:szCs w:val="28"/>
          <w:lang w:eastAsia="ru-RU"/>
        </w:rPr>
        <w:t>соответственно</w:t>
      </w:r>
      <w:r>
        <w:rPr>
          <w:szCs w:val="28"/>
        </w:rPr>
        <w:t xml:space="preserve"> Порядок, Схема).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 xml:space="preserve">2. Рекомендовать органам местного самоуправления муниципальных образований Пермского края до 1 сентября 2026 г. привести правовые акты, регулирующие вопросы формирования и утверждения Схемы, </w:t>
        <w:br/>
        <w:t>в соответствие с Порядком.</w:t>
      </w:r>
    </w:p>
    <w:p>
      <w:pPr>
        <w:pStyle w:val="Normal"/>
        <w:shd w:val="clear" w:color="auto" w:fill="FFFFFF"/>
        <w:ind w:firstLine="709"/>
        <w:jc w:val="both"/>
        <w:rPr>
          <w:szCs w:val="28"/>
        </w:rPr>
      </w:pPr>
      <w:r>
        <w:rPr>
          <w:rStyle w:val="PlaceholderText"/>
          <w:color w:val="auto"/>
          <w:sz w:val="28"/>
          <w:szCs w:val="28"/>
        </w:rPr>
        <w:t xml:space="preserve">3. Настоящий приказ вступает в силу с 1 сентября 2026 года, </w:t>
        <w:br/>
        <w:t>но не ранее чем по истечении девяноста дней после дня его официального опубликования.</w:t>
      </w:r>
    </w:p>
    <w:p>
      <w:pPr>
        <w:pStyle w:val="Normal"/>
        <w:spacing w:lineRule="exact" w:line="360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pacing w:lineRule="exact" w:line="360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pacing w:lineRule="exact" w:line="360"/>
        <w:ind w:firstLine="709"/>
        <w:jc w:val="both"/>
        <w:rPr>
          <w:szCs w:val="28"/>
        </w:rPr>
      </w:pPr>
      <w:r>
        <w:rPr>
          <w:sz w:val="28"/>
          <w:szCs w:val="28"/>
        </w:rPr>
        <w:t xml:space="preserve">4. Контроль за исполнением настоящего приказа возложить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на заместителя министра, начальника управления потребительского рынка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и лицензирования Министерства промышленности и торговли Пермского края. </w:t>
      </w:r>
    </w:p>
    <w:p>
      <w:pPr>
        <w:pStyle w:val="Normal"/>
        <w:tabs>
          <w:tab w:val="clear" w:pos="708"/>
          <w:tab w:val="left" w:pos="8222" w:leader="none"/>
        </w:tabs>
        <w:spacing w:before="720" w:after="0"/>
        <w:rPr>
          <w:color w:val="000000"/>
        </w:rPr>
      </w:pPr>
      <w:r>
        <w:rPr>
          <w:color w:val="000000"/>
        </w:rPr>
        <w:t xml:space="preserve">Заместитель председателя Правительства – </w:t>
      </w:r>
      <w:r>
        <w:rPr>
          <w:color w:val="000000"/>
        </w:rPr>
        <w:br w:type="textWrapping" w:clear="all"/>
      </w:r>
      <w:r>
        <w:rPr/>
        <w:t>м</w:t>
      </w:r>
      <w:r>
        <w:rPr>
          <w:color w:val="000000"/>
        </w:rPr>
        <w:t>инистр                                                                                                    А.В. Чибисов</w:t>
      </w:r>
    </w:p>
    <w:p>
      <w:pPr>
        <w:pStyle w:val="Normal"/>
        <w:spacing w:lineRule="exact" w:line="240"/>
        <w:ind w:firstLine="708"/>
        <w:jc w:val="center"/>
        <w:rPr/>
      </w:pPr>
      <w:r>
        <w:rPr/>
      </w:r>
      <w:r>
        <w:br w:type="page"/>
      </w:r>
    </w:p>
    <w:p>
      <w:pPr>
        <w:pStyle w:val="Normal"/>
        <w:spacing w:lineRule="exact" w:line="240" w:before="0" w:after="0"/>
        <w:ind w:firstLine="709"/>
        <w:jc w:val="center"/>
        <w:rPr/>
      </w:pPr>
      <w:r>
        <w:rPr/>
        <w:t xml:space="preserve">                                   </w:t>
      </w:r>
      <w:r>
        <w:rPr/>
        <w:t>УТВЕРЖДЕН</w:t>
      </w:r>
    </w:p>
    <w:p>
      <w:pPr>
        <w:pStyle w:val="Normal"/>
        <w:tabs>
          <w:tab w:val="clear" w:pos="708"/>
          <w:tab w:val="left" w:pos="4962" w:leader="none"/>
          <w:tab w:val="left" w:pos="5529" w:leader="none"/>
        </w:tabs>
        <w:spacing w:lineRule="exact" w:line="240"/>
        <w:ind w:left="5529" w:right="-284"/>
        <w:rPr>
          <w:szCs w:val="28"/>
        </w:rPr>
      </w:pPr>
      <w:r>
        <w:rPr>
          <w:szCs w:val="28"/>
        </w:rPr>
        <w:t xml:space="preserve">приказом Министерства                                                промышленности  и торговли Пермского края </w:t>
      </w:r>
    </w:p>
    <w:p>
      <w:pPr>
        <w:pStyle w:val="Normal"/>
        <w:tabs>
          <w:tab w:val="clear" w:pos="708"/>
          <w:tab w:val="left" w:pos="4962" w:leader="none"/>
        </w:tabs>
        <w:spacing w:lineRule="exact" w:line="240"/>
        <w:ind w:left="4395" w:right="-284"/>
        <w:rPr>
          <w:szCs w:val="28"/>
        </w:rPr>
      </w:pPr>
      <w:r>
        <w:rPr>
          <w:szCs w:val="28"/>
        </w:rPr>
        <w:tab/>
        <w:t xml:space="preserve">        от __________ № _______________</w:t>
      </w:r>
    </w:p>
    <w:p>
      <w:pPr>
        <w:pStyle w:val="Normal"/>
        <w:tabs>
          <w:tab w:val="clear" w:pos="708"/>
          <w:tab w:val="left" w:pos="8222" w:leader="none"/>
        </w:tabs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spacing w:lineRule="exact" w:line="240" w:before="0" w:after="120"/>
        <w:jc w:val="center"/>
        <w:rPr/>
      </w:pPr>
      <w:r>
        <w:rPr/>
      </w:r>
    </w:p>
    <w:p>
      <w:pPr>
        <w:pStyle w:val="Normal"/>
        <w:spacing w:lineRule="exact" w:line="240"/>
        <w:jc w:val="center"/>
        <w:rPr/>
      </w:pPr>
      <w:r>
        <w:rPr>
          <w:rFonts w:eastAsia="Calibri"/>
          <w:b/>
          <w:bCs/>
          <w:szCs w:val="28"/>
          <w:lang w:eastAsia="en-US"/>
        </w:rPr>
        <w:t>ПОРЯДОК</w:t>
      </w:r>
    </w:p>
    <w:p>
      <w:pPr>
        <w:pStyle w:val="Normal"/>
        <w:spacing w:lineRule="exact" w:line="40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</w:r>
    </w:p>
    <w:p>
      <w:pPr>
        <w:pStyle w:val="Normal"/>
        <w:spacing w:lineRule="exact" w:line="240"/>
        <w:jc w:val="center"/>
        <w:rPr/>
      </w:pPr>
      <w:r>
        <w:rPr>
          <w:rFonts w:eastAsia="Calibri"/>
          <w:b/>
          <w:bCs/>
          <w:szCs w:val="28"/>
          <w:lang w:eastAsia="en-US"/>
        </w:rPr>
        <w:t xml:space="preserve">включения нестационарных торговых объектов, размещенных </w:t>
      </w:r>
      <w:r>
        <w:rPr>
          <w:rFonts w:eastAsia="Calibri"/>
          <w:b/>
          <w:bCs/>
          <w:szCs w:val="28"/>
          <w:lang w:eastAsia="en-US"/>
        </w:rPr>
        <w:br w:type="textWrapping" w:clear="all"/>
      </w:r>
      <w:r>
        <w:rPr>
          <w:rFonts w:eastAsia="Calibri"/>
          <w:b/>
          <w:bCs/>
          <w:szCs w:val="28"/>
          <w:lang w:eastAsia="en-US"/>
        </w:rPr>
        <w:t xml:space="preserve">на земельных участках, находящихся в частной собственности, </w:t>
        <w:br/>
        <w:t xml:space="preserve">в схему размещения нестационарных торговых объектов </w:t>
        <w:br/>
        <w:t xml:space="preserve">и исключения таких объектов из этой схемы </w:t>
      </w:r>
    </w:p>
    <w:p>
      <w:pPr>
        <w:pStyle w:val="Normal"/>
        <w:spacing w:lineRule="exact" w:line="360"/>
        <w:ind w:hang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spacing w:lineRule="exact" w:line="360"/>
        <w:ind w:hanging="0"/>
        <w:jc w:val="center"/>
        <w:rPr>
          <w:b/>
          <w:bCs/>
          <w:color w:val="000000"/>
        </w:rPr>
      </w:pPr>
      <w:r>
        <w:rPr>
          <w:rFonts w:eastAsia="Calibri"/>
          <w:b/>
          <w:bCs/>
          <w:color w:val="000000"/>
          <w:szCs w:val="28"/>
          <w:lang w:eastAsia="en-US"/>
        </w:rPr>
        <w:t>1. Общие положения</w:t>
      </w:r>
    </w:p>
    <w:p>
      <w:pPr>
        <w:pStyle w:val="Normal"/>
        <w:shd w:val="clear" w:color="auto" w:fill="FFFFFF"/>
        <w:spacing w:lineRule="exact" w:line="360"/>
        <w:ind w:firstLine="709"/>
        <w:jc w:val="center"/>
        <w:rPr/>
      </w:pPr>
      <w:r>
        <w:rPr/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1.1. Настоящий Порядок определяет требования</w:t>
      </w:r>
      <w:r>
        <w:rPr>
          <w:sz w:val="28"/>
          <w:szCs w:val="28"/>
          <w:lang w:eastAsia="ru-RU"/>
        </w:rPr>
        <w:t xml:space="preserve"> к нестационарным </w:t>
        <w:br/>
        <w:t xml:space="preserve">торговым объектам и местам их размещения и процедуру включения </w:t>
        <w:br/>
        <w:t>нестационарных торговых объектов, размещенных на земельных участках</w:t>
      </w:r>
      <w:r>
        <w:rPr>
          <w:szCs w:val="28"/>
        </w:rPr>
        <w:t>, находящихся в частной собственности, в схему размещения нестационарных торговых объектов, порядок разработки и утверждения которой утвержден постановлением Правительства Пермского края 28.11.2017 № 966-п «Об утверждении Порядка разработки и утверждения схемы размещения нестационарных торговых объектов», и исключения таких объектов из этой схемы.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1.2. Размещение и использование нестационарных торговых объектов на земельных участках, находящихся в частной собственности, осуще</w:t>
        <w:softHyphen/>
        <w:t>ствляется в соответствии со схемой размещения нестационарных торговых объектов соответствующего муниципального образования Пермского края (далее – Схема).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1.3. Понятия и термины, используемые в настоящем Порядке, применяются в значениях, определенных Федеральным законом от 28.12.2009 № 381-ФЗ «Об основах государственного регулирования торговой деятельно</w:t>
        <w:softHyphen/>
        <w:t xml:space="preserve">сти в Российской Федерации», постановлением Правительства Пермского края от 28.11.2017 </w:t>
        <w:br/>
        <w:t>№ 966-п «Об утверждении Порядка разработки и утверждения схемы размещения нестационарных торговых объектов» (далее – Порядок № 966-п).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/>
      </w:pPr>
      <w:r>
        <w:rPr>
          <w:rFonts w:cs="Calibri" w:ascii="Times New Roman" w:hAnsi="Times New Roman"/>
          <w:bCs/>
          <w:sz w:val="28"/>
          <w:szCs w:val="28"/>
          <w:shd w:fill="auto" w:val="clear"/>
          <w:lang w:eastAsia="ru-RU"/>
        </w:rPr>
        <w:t>2</w:t>
      </w: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  <w:lang w:eastAsia="zh-CN"/>
        </w:rPr>
        <w:t>.</w:t>
      </w:r>
      <w:r>
        <w:rPr>
          <w:rFonts w:eastAsia="Times New Roman" w:cs="Times New Roman" w:ascii="Times New Roman" w:hAnsi="Times New Roman"/>
          <w:b w:val="false"/>
          <w:sz w:val="28"/>
          <w:szCs w:val="28"/>
          <w:shd w:fill="auto" w:val="clear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zh-CN"/>
        </w:rPr>
        <w:t xml:space="preserve">Требования к нестационарному торговому объекту </w:t>
        <w:br/>
        <w:t>и месту его размещения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540"/>
        <w:jc w:val="both"/>
        <w:rPr/>
      </w:pPr>
      <w:r>
        <w:rPr>
          <w:b w:val="false"/>
          <w:sz w:val="28"/>
          <w:szCs w:val="28"/>
        </w:rPr>
        <w:tab/>
      </w:r>
      <w:r>
        <w:rPr>
          <w:szCs w:val="28"/>
        </w:rPr>
        <w:t xml:space="preserve">2.1. Включение нестационарных торговых объектов в Схему осуществляется в порядке, предусмотренном разделом III Порядка </w:t>
        <w:br/>
        <w:t>№ 966-п, с учетом следующего: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2.1.1. обеспечение движения пешеходов, доступа потребителей к объектам торговли, в том числе обеспечения безбарьерной среды жизнедеятельности для инвалидов и иных маломобильных групп населения, беспрепятственного подъезда спецтранспорта при чрезвычайных ситуациях, а также с соблюдением требований безопасности, пожарных и санитарных требований; 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2.1.2. места размещения и использования нестационарных торговых объектов не ухудшают условия проживания и отдыха населения; 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2.1.3. места размещения и использования нестационарных торговых объектов не нарушают внешний архитектурный облик сложившейся застройки;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2.1.4. внешний вид нестационарного торгового объекта соответствует требованиям, установленным правилами благоустройства территории муниципального образования Пермского края.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2.1.5. необходимость обеспечения устойчивого развития территорий муниципальных образований Пермского края, в том числе с учетом генеральных планов муниципальных образований, правил землепользования и застройки муниципальных образований (в том числе с учетом установленных градостроительных регламентов), документации по планировке территорий (в том числе с учетом возможности размещения нестационарных торговых объектов в границах образуемых и изменяемых земельных участков);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 Схема не должна предусматривать места размещения и использования нестационарных торговых объектов: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2.2.1. на газонах, цветниках и прочих объектах озеленения;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2.2.2. в арках капитальных объектов; 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2.2.3. на детских и спортивных площадках, площадках для отдыха;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2.2.4. в 10-метровой зоне от границ посадочных площадок остановочных пунктов городского пассажирского транспорта общего пользования;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2.2.5. на расстоянии ближе пяти метров от входов (выходов) надземных и подземных пешеходных переходов;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2.2.6. на земельных участках, зарезервированных для государственных или муниципальных нужд либо изъятых из оборота или ограниченных в обороте в соответствии с законодательством Российской Федерации;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2.2.7. в грани</w:t>
      </w:r>
      <w:r>
        <w:rPr>
          <w:rFonts w:eastAsia="Times New Roman" w:cs="Times New Roman"/>
          <w:szCs w:val="28"/>
          <w:lang w:eastAsia="zh-CN"/>
        </w:rPr>
        <w:t>цах территорий объектов культурного наследия, за иск</w:t>
      </w:r>
      <w:r>
        <w:rPr>
          <w:szCs w:val="28"/>
        </w:rPr>
        <w:t>лючением границ территорий достопримечательных мест, если в соответствии с требованиями к градостроительным регламентам и режимами использования земель данных территорий размещение нестационарных торговых объектов запрещено, а также в границах зон охраны объектов культурного наследия, если в соответствии с требованиями к градостроительным регламентам и режимами использования земель данных зон охраны размещение нестационарных торговых объектов запрещено;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2.2.8. в пределах треугольников видимости нерегулируемых пешеходных переходов, перекрестков и примыканий улиц и дорог;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2.2.9. на тротуарах, если ширина свободного прохода по тротуару составляет менее 3 метров от границы проезжей части или газона или велосипедной дорожки до нестационарного торгового объекта;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2.2.10. с нарушением нормативного расстояния до существующих и проектируемых инженерных сетей и коммуникаций, а также на проектируемых и существующих инженерных сетях и коммуникациях с нарушением правил охраны и эксплуатации инженерных сетей и коммуникаций в случае отсутствия согласования размещения нестационарных торговых объектов на инженерных сетях и коммуникациях (размещение нестационарных торговых объектов в охранных зонах инженерных сетей и коммуникаций допускается в случаях, предусмотренных законодательством Российской Федерации, и при условии письменного согласования такого размещения собственниками или владельцами на ином законном основании инженерных сетей и коммуникаций (далее - ресурсоснабжающие организации));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2.2.11. с нарушением требований правил пожарной безопасности в части соблюдения противопожарных расстояний (разрывов);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2.2.12. на расстоянии менее 15 метров от мест массового пребывания людей, в том числе от объектов капитального строительства;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2.2.13. на парковках (парковочных местах), на местах (площадках) накопления твердых коммунальных отходов;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2.2.14. в границах территорий, в отношении которых установлены публичные сервитуты для прохода или проезда;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  <w:lang w:eastAsia="ru-RU"/>
        </w:rPr>
        <w:t>2.2.15. на проезжей части внутриквартальных проездов;</w:t>
      </w:r>
    </w:p>
    <w:p>
      <w:pPr>
        <w:pStyle w:val="Normal"/>
        <w:ind w:firstLine="540"/>
        <w:jc w:val="both"/>
        <w:rPr/>
      </w:pPr>
      <w:r>
        <w:rPr>
          <w:szCs w:val="28"/>
          <w:lang w:eastAsia="ru-RU"/>
        </w:rPr>
        <w:t xml:space="preserve">2.2.16. </w:t>
      </w:r>
      <w:r>
        <w:rPr>
          <w:szCs w:val="28"/>
        </w:rPr>
        <w:t>в границах территории, в отношении которой принято решение о комплексном развитии и (или) заключен договор о комплексном развитии территории, в соответствии с которыми планируется (осуществляется) реализация мероприятий по ее комплексному развитию, либо если границы комплексного развития территории определены в правилах землепользования и застройки муниципального образования Пермского края;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2.2.17. перед фасадами, обращенными на территорию общего пользования, а также перед примыкающими к указанным фасадам боковыми фасадами, включая всю территорию до границы территории общего пользования (настоящий пункт не распространяется на населенные пункты с численностью населения менее 5 тысяч человек);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2.2.18. в случае если вид разрешенного использования земельного участка не предусматривает возможность размещения указанного в заявлении нестационарного торгового объекта;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2.2.19. в границах территории, в отношении которой утвержденной документацией по планировке территории предусмотрено размещение иных объектов (при ее наличии);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2.2.20. в случае локального подключения нестационарного торгового объекта  к инженерным коммуникациям (сетям электроснабжения и связи), проложенными иными способами, за исключением подземного; 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2.2.21. в случае применения в нестационарном торговом объекте газоиспользующего оборудования;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2.2.22. в случае, если место размещения и использования нестационарного торгового объекта противоречит проектной документации расположенного на земельном участке объекта капитального строительства (при наличии проектной документации);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2.2.23. в границах полосы отвода железной дороги.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2.3 Требования, установленные пунктами 2.2.12, 2.2.17, 2.2.22, </w:t>
        <w:br/>
        <w:t xml:space="preserve">не распространяются на торговые автоматы (вендинговые автоматы) по </w:t>
        <w:br/>
        <w:t>реализации питьевой воды и тары.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540"/>
        <w:jc w:val="both"/>
        <w:rPr>
          <w:b/>
          <w:bCs/>
        </w:rPr>
      </w:pPr>
      <w:r>
        <w:rPr>
          <w:b/>
          <w:bCs/>
          <w:szCs w:val="28"/>
        </w:rPr>
        <w:t>3. Особенности включения нестационарных торговых объектов, размещенных на земельных участках, находящихся в частной собственности, в Схему и исключения таких объектов из этой схемы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540"/>
        <w:jc w:val="both"/>
        <w:rPr/>
      </w:pPr>
      <w:r>
        <w:rPr>
          <w:szCs w:val="28"/>
        </w:rPr>
        <w:tab/>
        <w:t xml:space="preserve">3.1. Включение нестационарного торгового объекта, размещенного на земельном участке, находящемся в частной собственности, в Схему осуществляется органом местного самоуправления на основании заявления юридического лица, индивидуального предпринимателя или физического лица, не являющегося индивидуальным предпринимателем и применяющего специальный налоговый режим «Налог на профессиональный доход» в течение срока проведения эксперимента, установленного Федеральным </w:t>
      </w:r>
      <w:hyperlink r:id="rId3" w:tooltip="http://172.30.45.4/cons/cgi/online.cgi?req=doc&amp;base=LAW&amp;n=520124&amp;date=04.03.2026">
        <w:r>
          <w:rPr>
            <w:rStyle w:val="Style"/>
            <w:szCs w:val="28"/>
          </w:rPr>
          <w:t>законом</w:t>
        </w:r>
      </w:hyperlink>
      <w:r>
        <w:rPr>
          <w:szCs w:val="28"/>
        </w:rPr>
        <w:t xml:space="preserve"> от 27 ноября 2018 г. № 422-ФЗ «О проведении эксперимента по установлению специального налогового режима «Налог на профессиональный доход», которые намереваются использовать нестационарные торговые объекты для осуществления торговой деятельности (далее – заявление, Заявитель).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3.2. Заявление оформляется по форме, согласно приложению 1 к настоящему Порядку, и должно содержать сведения о месте размещения, внешнем виде, назначении, характеристиках и сроках размещения нестационарного торгового объекта.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В отношении каждого нестационарного торгового объекта Заявителем оформляется отдельное Заявление. 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К заявлению прилагаются документы или их копии, заверенные в установленном порядке: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3.2.1. согласие всех собственников земельного участка и (или) иного лица, во владении и пользовании которого находится этот земельный участок (при наличии такого лица), на размещение нестационарного торгового объекта (предоставляется, в случае если заявитель не является собственником земельного участка или иным лицом, во владении и пользовании которого находится земельный участок), с указанием срока размещения нестационарного торгового объекта, а случае если земельный участок принадлежит на праве общей долевой собственности собственникам помещений в многоквартирном доме - протокол общего собрания собственников помещений в многоквартирном доме, на основании которого планируется размещение нестационарного торгового объекта;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3.2.2. договор на размещение нестационарного торгового объекта, заключенный между Заявителем, собственником(ми) земельного участка и (или) иным лицом, во владении и пользовании которого находится этот земельный участок (при наличии такого лица); 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3.2.3. </w:t>
      </w:r>
      <w:r>
        <w:rPr>
          <w:rFonts w:eastAsia="Tahoma" w:cs="Droid Sans"/>
          <w:color w:val="000000"/>
          <w:szCs w:val="28"/>
          <w:shd w:fill="auto" w:val="clear"/>
          <w:lang w:val="ru-RU" w:eastAsia="ru-RU" w:bidi="ar-SA"/>
        </w:rPr>
        <w:t>схема размещения нестационарного торгового объекта, расположенного на земельном участке, находящемся в частной собственности, которая изготавливается на инженерно-топографическом плане М 1:500</w:t>
      </w:r>
      <w:r>
        <w:rPr>
          <w:szCs w:val="28"/>
          <w:shd w:fill="auto" w:val="clear"/>
        </w:rPr>
        <w:t>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3.2.4. графический документ, в котором содержится информация о нестационарном торговом объекте, разработанный соответствии с требованиями правил благоустройства территории муниципального образования Пермского края, за исключением случаев, когда используется типовой проект, предусмотренный правилами благоустройства территории муниципального образования Пермского края;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3.2.5. </w:t>
      </w:r>
      <w:r>
        <w:rPr>
          <w:rFonts w:eastAsia="Tahoma" w:cs="Droid Sans"/>
          <w:color w:val="auto"/>
          <w:kern w:val="0"/>
          <w:sz w:val="28"/>
          <w:szCs w:val="28"/>
          <w:lang w:val="ru-RU" w:eastAsia="ru-RU" w:bidi="ar-SA"/>
        </w:rPr>
        <w:t>письменное согласование собственников или владельцев на ином законном основании инженерных сетей и коммуникаций (ресурсоснабжающие организации) о размещении нестационарных торговых объектов, при наличии на земельном участке инженерных сетей и коммуникаций и (или) охранных зон указанных сетей и коммуникаций;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3.2.6. технические условия, полученные от ресурсоснабжающих организаций (в случае необходимости технологического присоединения нестационарного торгового объекта к сетям инженерно-технического обеспечения);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3.2.7. проектная документация расположенного на земельном участке объекта капитального строительства (раздел «Схема планировочной организации земельного участка») (предоставляется при наличии проектной документации);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3.2.8. согласие Заявителя, представителя Заявителя на обработку персональных данных по форме, согласно приложению 2 к настоящему Порядку.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3.3. Заявление подается в орган местного самоуправления одним из следующих способов: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3.3.1. лично Заявителем;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3.3.2. посредством направления заказного письма с уведомлением о вручении.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3.4. Орган местного самоуправления осуществляет регистрацию Заявления в срок не более 1 рабочего дня со дня его поступления в орган местного самоуправления. </w:t>
      </w:r>
    </w:p>
    <w:p>
      <w:pPr>
        <w:pStyle w:val="Normal"/>
        <w:ind w:firstLine="540"/>
        <w:jc w:val="both"/>
        <w:rPr/>
      </w:pPr>
      <w:r>
        <w:rPr>
          <w:szCs w:val="28"/>
        </w:rPr>
        <w:t>3.5. При рассмотрении заявления и приложенных к нему документов, органы местного самоуправления муниципальных образований Пермского</w:t>
      </w:r>
      <w:r>
        <w:rPr>
          <w:rFonts w:eastAsia="DejaVu Sans" w:cs="Times New Roman"/>
          <w:b w:val="false"/>
          <w:sz w:val="28"/>
          <w:szCs w:val="28"/>
        </w:rPr>
        <w:t xml:space="preserve"> края обеспечивают проверку соответствия размещения нестационарных торговых объектов, расположенных на земельных участках, находящихся в частной собственности, настоящему Порядку.</w:t>
      </w:r>
      <w:r>
        <w:rPr/>
        <w:t xml:space="preserve"> </w:t>
      </w:r>
      <w:r>
        <w:rPr>
          <w:szCs w:val="28"/>
        </w:rPr>
        <w:t>Орган местного самоуправления проводит обследование места размещения нестационарного торгового объекта с составлением соответствующего акта обследования.</w:t>
      </w:r>
      <w:bookmarkStart w:id="0" w:name="_GoBack"/>
      <w:bookmarkEnd w:id="0"/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3.6. Орган местного самоуправления в течение 30 дней со дня регистрации заявления рассматривает его на предмет соответствия нестационарного торгового объекта и места его размещения требованиям, установленным настоящим Порядком, и принимает одно из следующих решений: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3.6.1 об отказе во включении нестационарного торгового объекта в Схему;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3.6.2 о включении нестационарного торгового объекта в проект Схемы.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3.7. В случае предоставления Заявителем неполного пакета документов орган местного самоуправления в течение 5 рабочих дней со дня регистрации заявления принимает решение о возврате документов без рассмотрения и направляет соответствующее уведомление Заявителю способом, позволяющим подтвердить факт и дату получения уведомления.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3.8. Основаниями для принятия решения об отказе во включении нестационарного торгового объекта в Схему являются: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3.8.1. несоответствие поданного Заявления форме, установленной приложением к настоящему Порядку;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3.8.2. предоставление документов, содержащих недостоверные или неполные сведения;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3.8.3. несоответствие нестационарного торгового объекта и (или) места его размещения требованиям, предусмотренным пунктом 2.2 настоящего Порядка;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3.8.4. несоответствие внешнего вида нестационарного торгового объекта требованиям, установленным правилами благоустройства территории </w:t>
        <w:br/>
        <w:t>муниципального образования Пермского края;</w:t>
      </w:r>
    </w:p>
    <w:p>
      <w:pPr>
        <w:pStyle w:val="Normal"/>
        <w:ind w:firstLine="540"/>
        <w:jc w:val="both"/>
        <w:rPr/>
      </w:pPr>
      <w:r>
        <w:rPr>
          <w:szCs w:val="28"/>
        </w:rPr>
        <w:t xml:space="preserve">3.8.5. </w:t>
      </w:r>
      <w:r>
        <w:rPr>
          <w:szCs w:val="28"/>
          <w:shd w:fill="auto" w:val="clear"/>
        </w:rPr>
        <w:t xml:space="preserve">в случае, если срок действия договора на размещение </w:t>
        <w:br/>
        <w:t xml:space="preserve">нестационарного торгового объекта превышает срок действия согласия </w:t>
        <w:br/>
        <w:t>собственника земельного участка.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3.9. Орган местного самоуправления не позднее 5 рабочих дней, следующих за днем принятия решения, предусмотренного пунктом 3.4 настоящего Порядка, уведомляет Заявителя об отказе во внесении изменений в Схему, с указанием обоснований такого отказа, либо об утверждении изменений в Схему, способом, позволяющим подтвердить факт и дату получения уведомления.</w:t>
      </w:r>
    </w:p>
    <w:p>
      <w:pPr>
        <w:pStyle w:val="Normal"/>
        <w:ind w:firstLine="540"/>
        <w:jc w:val="both"/>
        <w:rPr>
          <w:rFonts w:ascii="Times New Roman" w:hAnsi="Times New Roman" w:eastAsia="DejaVu Sans" w:cs="Times New Roman"/>
          <w:b w:val="false"/>
          <w:sz w:val="28"/>
          <w:szCs w:val="28"/>
        </w:rPr>
      </w:pPr>
      <w:r>
        <w:rPr>
          <w:szCs w:val="28"/>
        </w:rPr>
        <w:t>3.10. В случае получения от органа местного самоуправления уведомления о возврате без рассмотрения заявления или об отказе во внесении изменений в Схему, Заявитель вправе после устранения причин, явившихся основанием для принятия такого решения, повторно обратиться с заявлением в орган местного самоуправления в п</w:t>
      </w:r>
      <w:r>
        <w:rPr>
          <w:rFonts w:eastAsia="DejaVu Sans" w:cs="Times New Roman"/>
          <w:b w:val="false"/>
          <w:sz w:val="28"/>
          <w:szCs w:val="28"/>
        </w:rPr>
        <w:t xml:space="preserve">орядке, предусмотренном разделом </w:t>
      </w:r>
      <w:r>
        <w:rPr>
          <w:sz w:val="28"/>
          <w:szCs w:val="28"/>
          <w:lang w:eastAsia="ru-RU"/>
        </w:rPr>
        <w:t>3</w:t>
      </w:r>
      <w:r>
        <w:rPr>
          <w:rFonts w:eastAsia="DejaVu Sans" w:cs="Times New Roman"/>
          <w:b w:val="false"/>
          <w:sz w:val="28"/>
          <w:szCs w:val="28"/>
        </w:rPr>
        <w:t xml:space="preserve"> настоящего Порядка.</w:t>
      </w:r>
    </w:p>
    <w:p>
      <w:pPr>
        <w:pStyle w:val="Normal"/>
        <w:ind w:firstLine="540"/>
        <w:jc w:val="both"/>
        <w:rPr/>
      </w:pPr>
      <w:r>
        <w:rPr>
          <w:rFonts w:eastAsia="DejaVu Sans" w:cs="Times New Roman"/>
          <w:b w:val="false"/>
          <w:sz w:val="28"/>
          <w:szCs w:val="28"/>
        </w:rPr>
        <w:t xml:space="preserve">3.11. Согласование и утверждение проекта Схемы осуществляется в соответствии с </w:t>
      </w:r>
      <w:r>
        <w:rPr>
          <w:szCs w:val="28"/>
        </w:rPr>
        <w:t>Порядком № 966-п.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3.12. Исключение нестационарного торгового объекта, размещенного на земельном участке, находящемся в частной собственности, из Схемы осуществляется решением органа местного самоуправления: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3.12.1. на основании заявления собственника земельного участка, иного лица, во владении и пользовании которого находится этот земельный участок (при наличии такого лица), собственника нестационарного торгового объекта;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3.12.2. по истечении срока выдачи согласия собственника земельного участка на размещение нестационарного торгового объекта;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3.12.3. в случае, если место размещения нестационарного торгового объекта перестало соответствовать требованиям пункта 2.2 настоящего Порядка;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3.12.4. </w:t>
      </w:r>
      <w:r>
        <w:rPr>
          <w:rFonts w:eastAsia="Tahoma" w:cs="Droid Sans"/>
          <w:color w:val="000000"/>
          <w:szCs w:val="28"/>
          <w:shd w:fill="auto" w:val="clear"/>
          <w:lang w:val="ru-RU" w:eastAsia="ru-RU" w:bidi="ar-SA"/>
        </w:rPr>
        <w:t xml:space="preserve">изменения сведений о нестационарном торговом объекте </w:t>
      </w:r>
      <w:r>
        <w:rPr>
          <w:szCs w:val="28"/>
          <w:shd w:fill="auto" w:val="clear"/>
        </w:rPr>
        <w:t>(вид нестационарного торгового объекта, назначение нестационарного торгового объекта, размер нестационарного торгового объекта);</w:t>
      </w:r>
    </w:p>
    <w:p>
      <w:pPr>
        <w:pStyle w:val="Normal"/>
        <w:ind w:firstLine="540"/>
        <w:jc w:val="both"/>
        <w:rPr>
          <w:highlight w:val="none"/>
          <w:shd w:fill="auto" w:val="clear"/>
        </w:rPr>
      </w:pPr>
      <w:r>
        <w:rPr>
          <w:szCs w:val="28"/>
          <w:shd w:fill="auto" w:val="clear"/>
        </w:rPr>
        <w:t xml:space="preserve">3.12.5. </w:t>
      </w:r>
      <w:r>
        <w:rPr>
          <w:rFonts w:eastAsia="Tahoma" w:cs="Droid Sans"/>
          <w:color w:val="000000"/>
          <w:szCs w:val="28"/>
          <w:shd w:fill="auto" w:val="clear"/>
          <w:lang w:val="ru-RU" w:eastAsia="ru-RU" w:bidi="ar-SA"/>
        </w:rPr>
        <w:t xml:space="preserve">в случае прекращения срока действия договора аренды </w:t>
      </w:r>
      <w:r>
        <w:rPr>
          <w:szCs w:val="28"/>
          <w:shd w:fill="auto" w:val="clear"/>
        </w:rPr>
        <w:br/>
        <w:t xml:space="preserve">земельного участка; </w:t>
      </w:r>
    </w:p>
    <w:p>
      <w:pPr>
        <w:pStyle w:val="Normal"/>
        <w:ind w:firstLine="540"/>
        <w:jc w:val="both"/>
        <w:rPr>
          <w:highlight w:val="none"/>
          <w:shd w:fill="auto" w:val="clear"/>
        </w:rPr>
      </w:pPr>
      <w:r>
        <w:rPr>
          <w:szCs w:val="28"/>
          <w:shd w:fill="auto" w:val="clear"/>
        </w:rPr>
        <w:t xml:space="preserve">3.12.6. в случае </w:t>
      </w:r>
      <w:r>
        <w:rPr>
          <w:rFonts w:eastAsia="Tahoma" w:cs="Droid Sans"/>
          <w:color w:val="000000"/>
          <w:szCs w:val="28"/>
          <w:shd w:fill="auto" w:val="clear"/>
          <w:lang w:val="ru-RU" w:eastAsia="ru-RU" w:bidi="ar-SA"/>
        </w:rPr>
        <w:t>прекращения деятельности Заявителя</w:t>
      </w:r>
      <w:r>
        <w:rPr>
          <w:szCs w:val="28"/>
          <w:shd w:fill="auto" w:val="clear"/>
        </w:rPr>
        <w:t>;</w:t>
      </w:r>
    </w:p>
    <w:p>
      <w:pPr>
        <w:pStyle w:val="Normal"/>
        <w:ind w:firstLine="540"/>
        <w:jc w:val="both"/>
        <w:rPr>
          <w:highlight w:val="none"/>
          <w:shd w:fill="auto" w:val="clear"/>
        </w:rPr>
      </w:pPr>
      <w:r>
        <w:rPr>
          <w:szCs w:val="28"/>
          <w:shd w:fill="auto" w:val="clear"/>
        </w:rPr>
        <w:t xml:space="preserve">3.12.7. в случае </w:t>
      </w:r>
      <w:r>
        <w:rPr>
          <w:rFonts w:eastAsia="Tahoma" w:cs="Droid San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несоответствия внешнего вида нестационарного </w:t>
        <w:br/>
        <w:t xml:space="preserve">торгового объекта требованиям, установленным правилами благоустройства территории муниципального образования Пермского края. </w:t>
      </w:r>
      <w:r>
        <w:rPr>
          <w:szCs w:val="28"/>
          <w:shd w:fill="auto" w:val="clear"/>
        </w:rPr>
        <w:t xml:space="preserve"> 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/>
        <w:outlineLvl w:val="1"/>
        <w:rPr>
          <w:rFonts w:ascii="Times New Roman" w:hAnsi="Times New Roman" w:eastAsia="DejaVu Sans" w:cs="Times New Roman"/>
          <w:b w:val="false"/>
          <w:bCs w:val="false"/>
          <w:color w:val="auto"/>
          <w:sz w:val="28"/>
          <w:szCs w:val="28"/>
          <w:lang w:val="ru-RU" w:eastAsia="ru-RU" w:bidi="ar-SA"/>
        </w:rPr>
      </w:pPr>
      <w:r>
        <w:rPr>
          <w:rFonts w:eastAsia="DejaVu Sans" w:cs="Times New Roman"/>
          <w:b w:val="false"/>
          <w:bCs w:val="false"/>
          <w:color w:val="auto"/>
          <w:sz w:val="28"/>
          <w:szCs w:val="28"/>
          <w:lang w:val="ru-RU" w:eastAsia="ru-RU" w:bidi="ar-SA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508" w:leader="none"/>
          <w:tab w:val="left" w:pos="715" w:leader="none"/>
        </w:tabs>
        <w:ind w:hanging="0" w:left="0" w:right="0"/>
        <w:jc w:val="both"/>
        <w:outlineLvl w:val="1"/>
        <w:rPr>
          <w:rFonts w:ascii="Times New Roman" w:hAnsi="Times New Roman" w:eastAsia="Liberation Sans" w:cs="Times New Roman" w:eastAsiaTheme="minorEastAsia"/>
          <w:b w:val="false"/>
          <w:bCs w:val="false"/>
          <w:sz w:val="28"/>
          <w:szCs w:val="28"/>
          <w:lang w:eastAsia="ru-RU"/>
        </w:rPr>
      </w:pPr>
      <w:r>
        <w:rPr>
          <w:rFonts w:eastAsia="Liberation Sans" w:cs="Times New Roman" w:eastAsiaTheme="minorEastAsia"/>
          <w:b w:val="false"/>
          <w:bCs w:val="false"/>
          <w:sz w:val="28"/>
          <w:szCs w:val="28"/>
          <w:lang w:eastAsia="ru-RU"/>
        </w:rPr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tbl>
      <w:tblPr>
        <w:tblStyle w:val="896"/>
        <w:tblW w:w="94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14"/>
        <w:gridCol w:w="4713"/>
      </w:tblGrid>
      <w:tr>
        <w:trPr>
          <w:trHeight w:val="2375" w:hRule="atLeast"/>
        </w:trPr>
        <w:tc>
          <w:tcPr>
            <w:tcW w:w="4714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tcW w:w="4713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lef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 w:cs="Droid Sans"/>
                <w:kern w:val="0"/>
                <w:szCs w:val="28"/>
                <w:lang w:val="ru-RU" w:eastAsia="en-US" w:bidi="ar-SA"/>
              </w:rPr>
              <w:t>Приложени</w:t>
            </w:r>
            <w:r>
              <w:rPr>
                <w:sz w:val="28"/>
                <w:szCs w:val="28"/>
                <w:lang w:eastAsia="ru-RU"/>
              </w:rPr>
              <w:t>е 1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rFonts w:ascii="Times New Roman" w:hAnsi="Times New Roman" w:eastAsia="Tahoma" w:cs="Droid Sans"/>
                <w:kern w:val="0"/>
                <w:szCs w:val="20"/>
                <w:lang w:val="ru-RU" w:bidi="ar-SA"/>
              </w:rPr>
            </w:pPr>
            <w:r>
              <w:rPr>
                <w:rFonts w:eastAsia="Calibri" w:cs="Droid Sans"/>
                <w:kern w:val="0"/>
                <w:szCs w:val="28"/>
                <w:lang w:val="ru-RU" w:eastAsia="en-US" w:bidi="ar-SA"/>
              </w:rPr>
              <w:t xml:space="preserve">к Порядку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</w:t>
            </w:r>
            <w:r>
              <w:rPr>
                <w:rFonts w:eastAsia="Calibri" w:cs="Droid Sans"/>
                <w:kern w:val="0"/>
                <w:szCs w:val="28"/>
                <w:lang w:val="ru-RU" w:eastAsia="en-US" w:bidi="ar-SA"/>
              </w:rPr>
              <w:br w:type="textWrapping" w:clear="all"/>
            </w:r>
            <w:r>
              <w:rPr>
                <w:rFonts w:eastAsia="Calibri" w:cs="Droid Sans"/>
                <w:kern w:val="0"/>
                <w:szCs w:val="28"/>
                <w:lang w:val="ru-RU" w:eastAsia="en-US" w:bidi="ar-SA"/>
              </w:rPr>
              <w:t>из этой схемы</w:t>
            </w:r>
          </w:p>
          <w:p>
            <w:pPr>
              <w:pStyle w:val="Normal"/>
              <w:widowControl/>
              <w:spacing w:lineRule="exact" w:line="240" w:before="0" w:after="0"/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</w:r>
          </w:p>
        </w:tc>
      </w:tr>
    </w:tbl>
    <w:p>
      <w:pPr>
        <w:pStyle w:val="ConsPlusNormal"/>
        <w:jc w:val="right"/>
        <w:rPr/>
      </w:pPr>
      <w:r>
        <w:rPr/>
        <w:t>ФОРМА</w:t>
      </w:r>
    </w:p>
    <w:p>
      <w:pPr>
        <w:pStyle w:val="ConsPlusNormal"/>
        <w:jc w:val="both"/>
        <w:rPr/>
      </w:pPr>
      <w:r>
        <w:rPr/>
      </w:r>
    </w:p>
    <w:tbl>
      <w:tblPr>
        <w:tblW w:w="9763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4762"/>
        <w:gridCol w:w="5000"/>
      </w:tblGrid>
      <w:tr>
        <w:trPr/>
        <w:tc>
          <w:tcPr>
            <w:tcW w:w="4762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000" w:type="dxa"/>
            <w:tcBorders/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Орган местного самоуправления Пермского края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______________________________</w:t>
            </w:r>
          </w:p>
          <w:p>
            <w:pPr>
              <w:pStyle w:val="Normal"/>
              <w:ind w:hanging="0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/>
        <w:tc>
          <w:tcPr>
            <w:tcW w:w="9762" w:type="dxa"/>
            <w:gridSpan w:val="2"/>
            <w:tcBorders/>
          </w:tcPr>
          <w:p>
            <w:pPr>
              <w:pStyle w:val="ConsPlusNormal"/>
              <w:jc w:val="center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Normal"/>
              <w:ind w:firstLine="540"/>
              <w:jc w:val="center"/>
              <w:rPr>
                <w:szCs w:val="28"/>
              </w:rPr>
            </w:pPr>
            <w:r>
              <w:rPr>
                <w:szCs w:val="28"/>
              </w:rPr>
              <w:t>ЗАЯВЛЕНИЕ</w:t>
            </w:r>
          </w:p>
          <w:p>
            <w:pPr>
              <w:pStyle w:val="Normal"/>
              <w:ind w:firstLine="540"/>
              <w:jc w:val="center"/>
              <w:rPr>
                <w:szCs w:val="28"/>
              </w:rPr>
            </w:pPr>
            <w:r>
              <w:rPr>
                <w:szCs w:val="28"/>
              </w:rPr>
              <w:t>о включении нестационарного торгового объекта</w:t>
            </w:r>
          </w:p>
          <w:p>
            <w:pPr>
              <w:pStyle w:val="Normal"/>
              <w:ind w:firstLine="540"/>
              <w:jc w:val="center"/>
              <w:rPr>
                <w:szCs w:val="28"/>
              </w:rPr>
            </w:pPr>
            <w:r>
              <w:rPr>
                <w:szCs w:val="28"/>
              </w:rPr>
              <w:t>в Схему размещения нестационарных торговых объектов</w:t>
            </w:r>
          </w:p>
          <w:p>
            <w:pPr>
              <w:pStyle w:val="Normal"/>
              <w:ind w:firstLine="540"/>
              <w:jc w:val="center"/>
              <w:rPr>
                <w:szCs w:val="28"/>
              </w:rPr>
            </w:pPr>
            <w:r>
              <w:rPr>
                <w:szCs w:val="28"/>
              </w:rPr>
              <w:t>на территории ______________________</w:t>
            </w:r>
          </w:p>
        </w:tc>
      </w:tr>
    </w:tbl>
    <w:p>
      <w:pPr>
        <w:pStyle w:val="Normal"/>
        <w:rPr>
          <w:highlight w:val="yellow"/>
        </w:rPr>
      </w:pPr>
      <w:r>
        <w:rPr>
          <w:highlight w:val="yellow"/>
        </w:rPr>
      </w:r>
    </w:p>
    <w:tbl>
      <w:tblPr>
        <w:tblW w:w="9763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9763"/>
      </w:tblGrid>
      <w:tr>
        <w:trPr/>
        <w:tc>
          <w:tcPr>
            <w:tcW w:w="9763" w:type="dxa"/>
            <w:tcBorders/>
          </w:tcPr>
          <w:p>
            <w:pPr>
              <w:pStyle w:val="ConsPlusNormal"/>
              <w:ind w:firstLine="540"/>
              <w:jc w:val="both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>Прошу включить нестационарный торговый объект (далее – НТО) в Схему размещения нестационарных торговых объектов на территории  ______________________: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tbl>
            <w:tblPr>
              <w:tblW w:w="9284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noHBand="0" w:noVBand="0" w:firstColumn="0" w:lastRow="0" w:lastColumn="0" w:firstRow="0"/>
            </w:tblPr>
            <w:tblGrid>
              <w:gridCol w:w="518"/>
              <w:gridCol w:w="3047"/>
              <w:gridCol w:w="5719"/>
            </w:tblGrid>
            <w:tr>
              <w:trPr>
                <w:trHeight w:val="281" w:hRule="atLeast"/>
              </w:trPr>
              <w:tc>
                <w:tcPr>
                  <w:tcW w:w="5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1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Вид НТО</w:t>
                  </w:r>
                  <w:r>
                    <w:rPr>
                      <w:rStyle w:val="FootnoteReference"/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footnoteReference w:id="2"/>
                  </w: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:</w:t>
                  </w:r>
                </w:p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индивидуальный проект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518" w:type="dxa"/>
                  <w:vMerge w:val="continue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shd w:fill="auto" w:val="clear"/>
                    </w:rPr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типовой проект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5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2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Назначение НТО:</w:t>
                  </w:r>
                </w:p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- продажа товаров, указать специализацию НТО: (продовольственные товары и их виды, непродовольственные товары и их виды)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51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shd w:fill="auto" w:val="clear"/>
                    </w:rPr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- оказание услуг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3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Размер НТО:</w:t>
                  </w:r>
                </w:p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- площадь</w:t>
                  </w:r>
                </w:p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- длина</w:t>
                  </w:r>
                </w:p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- ширина</w:t>
                  </w:r>
                </w:p>
                <w:p>
                  <w:pPr>
                    <w:pStyle w:val="Normal"/>
                    <w:shd w:val="clear" w:fill="FFFFFF"/>
                    <w:rPr>
                      <w:color w:val="000000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color w:val="000000"/>
                      <w:sz w:val="24"/>
                      <w:szCs w:val="24"/>
                      <w:shd w:fill="auto" w:val="clear"/>
                      <w:lang w:eastAsia="ru-RU"/>
                    </w:rPr>
                    <w:t>- высота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4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formattext"/>
                    <w:spacing w:beforeAutospacing="0" w:before="0" w:afterAutospacing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Times New Roman" w:cs="Times New Roman"/>
                      <w:shd w:fill="auto" w:val="clear"/>
                      <w:lang w:eastAsia="ru-RU"/>
                    </w:rPr>
                    <w:t>Площадь земельного участка, на котором размещается (будет размещен) НТО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656" w:hRule="atLeast"/>
              </w:trPr>
              <w:tc>
                <w:tcPr>
                  <w:tcW w:w="5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5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Место размещения НТО:</w:t>
                  </w:r>
                </w:p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- адресный ориентир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146" w:hRule="atLeast"/>
              </w:trPr>
              <w:tc>
                <w:tcPr>
                  <w:tcW w:w="518" w:type="dxa"/>
                  <w:vMerge w:val="continue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- географические координаты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146" w:hRule="atLeast"/>
              </w:trPr>
              <w:tc>
                <w:tcPr>
                  <w:tcW w:w="518" w:type="dxa"/>
                  <w:vMerge w:val="continue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- кадастровый номер земельного участка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146" w:hRule="atLeast"/>
              </w:trPr>
              <w:tc>
                <w:tcPr>
                  <w:tcW w:w="51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6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formattext"/>
                    <w:spacing w:beforeAutospacing="0" w:before="0" w:afterAutospacing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Times New Roman" w:cs="Times New Roman"/>
                      <w:shd w:fill="auto" w:val="clear"/>
                      <w:lang w:eastAsia="ru-RU"/>
                    </w:rPr>
                    <w:t>Собственник земельного участка, на котором размещается (будет размещен) НТО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146" w:hRule="atLeast"/>
              </w:trPr>
              <w:tc>
                <w:tcPr>
                  <w:tcW w:w="518" w:type="dxa"/>
                  <w:vMerge w:val="restart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7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Период размещения НТО:</w:t>
                  </w:r>
                </w:p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- с (дата)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146" w:hRule="atLeast"/>
              </w:trPr>
              <w:tc>
                <w:tcPr>
                  <w:tcW w:w="518" w:type="dxa"/>
                  <w:vMerge w:val="continue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- по (дата)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656" w:hRule="atLeast"/>
              </w:trPr>
              <w:tc>
                <w:tcPr>
                  <w:tcW w:w="5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8</w:t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Характеристики НТО:</w:t>
                  </w:r>
                </w:p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- круглогодичного размещения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  <w:tr>
              <w:trPr>
                <w:trHeight w:val="333" w:hRule="atLeast"/>
              </w:trPr>
              <w:tc>
                <w:tcPr>
                  <w:tcW w:w="51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  <w:tc>
                <w:tcPr>
                  <w:tcW w:w="3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- сезонного размещения</w:t>
                  </w:r>
                </w:p>
              </w:tc>
              <w:tc>
                <w:tcPr>
                  <w:tcW w:w="5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</w:rPr>
                  </w:r>
                </w:p>
              </w:tc>
            </w:tr>
          </w:tbl>
          <w:p>
            <w:pPr>
              <w:pStyle w:val="ConsPlusNormal"/>
              <w:ind w:firstLine="708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ConsPlusNormal"/>
              <w:ind w:firstLine="708"/>
              <w:jc w:val="both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  <w:lang w:eastAsia="ru-RU"/>
              </w:rPr>
              <w:t>Сведения о Заявителе:</w:t>
            </w:r>
          </w:p>
          <w:tbl>
            <w:tblPr>
              <w:tblW w:w="9313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noHBand="0" w:noVBand="0" w:firstColumn="0" w:lastRow="0" w:lastColumn="0" w:firstRow="0"/>
            </w:tblPr>
            <w:tblGrid>
              <w:gridCol w:w="515"/>
              <w:gridCol w:w="3578"/>
              <w:gridCol w:w="5220"/>
            </w:tblGrid>
            <w:tr>
              <w:trPr>
                <w:trHeight w:val="1117" w:hRule="atLeast"/>
              </w:trPr>
              <w:tc>
                <w:tcPr>
                  <w:tcW w:w="5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1</w:t>
                  </w:r>
                </w:p>
              </w:tc>
              <w:tc>
                <w:tcPr>
                  <w:tcW w:w="3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Наименование юридического лица / фамилия, имя, отчество индивидуального предпринимателя или самозанятого</w:t>
                  </w:r>
                  <w:r>
                    <w:rPr>
                      <w:rStyle w:val="FootnoteReference"/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footnoteReference w:id="3"/>
                  </w:r>
                </w:p>
              </w:tc>
              <w:tc>
                <w:tcPr>
                  <w:tcW w:w="5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15" w:hRule="atLeast"/>
              </w:trPr>
              <w:tc>
                <w:tcPr>
                  <w:tcW w:w="5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2</w:t>
                  </w:r>
                </w:p>
              </w:tc>
              <w:tc>
                <w:tcPr>
                  <w:tcW w:w="3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Номер и серия документа, удостоверяющего личность, сведения о дате его выдачи и выдавшем органе индивидуального предпринимателя или самозанятого (для индивидуальных предпринимателей и самозанятых)</w:t>
                  </w:r>
                </w:p>
              </w:tc>
              <w:tc>
                <w:tcPr>
                  <w:tcW w:w="5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91" w:hRule="atLeast"/>
              </w:trPr>
              <w:tc>
                <w:tcPr>
                  <w:tcW w:w="5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3</w:t>
                  </w:r>
                </w:p>
              </w:tc>
              <w:tc>
                <w:tcPr>
                  <w:tcW w:w="3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ИНН</w:t>
                  </w:r>
                </w:p>
              </w:tc>
              <w:tc>
                <w:tcPr>
                  <w:tcW w:w="5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1129" w:hRule="atLeast"/>
              </w:trPr>
              <w:tc>
                <w:tcPr>
                  <w:tcW w:w="5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4</w:t>
                  </w:r>
                </w:p>
              </w:tc>
              <w:tc>
                <w:tcPr>
                  <w:tcW w:w="3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Местонахождение (для юридических лиц) / адрес регистрации по месту жительства (для индивидуальных предпринимателей и самозанятых)</w:t>
                  </w:r>
                </w:p>
              </w:tc>
              <w:tc>
                <w:tcPr>
                  <w:tcW w:w="5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279" w:hRule="atLeast"/>
              </w:trPr>
              <w:tc>
                <w:tcPr>
                  <w:tcW w:w="5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5</w:t>
                  </w:r>
                </w:p>
              </w:tc>
              <w:tc>
                <w:tcPr>
                  <w:tcW w:w="3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Контактный телефон (заполняется обязательно)</w:t>
                  </w:r>
                </w:p>
              </w:tc>
              <w:tc>
                <w:tcPr>
                  <w:tcW w:w="5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  <w:tr>
              <w:trPr>
                <w:trHeight w:val="559" w:hRule="atLeast"/>
              </w:trPr>
              <w:tc>
                <w:tcPr>
                  <w:tcW w:w="5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6</w:t>
                  </w:r>
                </w:p>
              </w:tc>
              <w:tc>
                <w:tcPr>
                  <w:tcW w:w="3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shd w:fill="auto" w:val="clear"/>
                      <w:lang w:eastAsia="ru-RU"/>
                    </w:rPr>
                    <w:t>Адрес электронной почты (при наличии)</w:t>
                  </w:r>
                </w:p>
              </w:tc>
              <w:tc>
                <w:tcPr>
                  <w:tcW w:w="5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ourier New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ourier New"/>
                      <w:sz w:val="24"/>
                      <w:szCs w:val="24"/>
                      <w:highlight w:val="yellow"/>
                    </w:rPr>
                  </w:r>
                </w:p>
              </w:tc>
            </w:tr>
          </w:tbl>
          <w:p>
            <w:pPr>
              <w:pStyle w:val="ConsPlusNormal"/>
              <w:jc w:val="both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firstLine="540"/>
              <w:jc w:val="both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Normal"/>
              <w:ind w:firstLine="540"/>
              <w:jc w:val="left"/>
              <w:rPr>
                <w:szCs w:val="28"/>
              </w:rPr>
            </w:pPr>
            <w:r>
              <w:rPr>
                <w:szCs w:val="28"/>
              </w:rPr>
              <w:t>Приложения: ____________________________________________________________________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</w:t>
            </w:r>
          </w:p>
          <w:p>
            <w:pPr>
              <w:pStyle w:val="Normal"/>
              <w:ind w:firstLine="540"/>
              <w:jc w:val="left"/>
              <w:rPr>
                <w:szCs w:val="28"/>
              </w:rPr>
            </w:pPr>
            <w:r>
              <w:rPr>
                <w:szCs w:val="28"/>
              </w:rPr>
              <w:t>"_____" _____________ г.                                 ________________</w:t>
            </w:r>
          </w:p>
          <w:p>
            <w:pPr>
              <w:pStyle w:val="Normal"/>
              <w:ind w:firstLine="540"/>
              <w:jc w:val="left"/>
              <w:rPr>
                <w:szCs w:val="28"/>
              </w:rPr>
            </w:pPr>
            <w:r>
              <w:rPr>
                <w:szCs w:val="28"/>
              </w:rPr>
              <w:t>(дата)                                                                         (подпись)</w:t>
            </w:r>
          </w:p>
          <w:p>
            <w:pPr>
              <w:pStyle w:val="Normal"/>
              <w:ind w:firstLine="54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ConsPlusNormal"/>
              <w:ind w:left="504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ind w:left="5041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Приложение 2</w:t>
            </w:r>
          </w:p>
          <w:p>
            <w:pPr>
              <w:pStyle w:val="ConsPlusNormal"/>
              <w:ind w:left="5041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 xml:space="preserve">к Порядку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</w:t>
              <w:br/>
              <w:t>и исключения таких объектов из этой схемы</w:t>
            </w:r>
          </w:p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СОГЛАСИЕ</w:t>
            </w:r>
          </w:p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на обработку персональных данных</w:t>
            </w:r>
          </w:p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Я, _______________________________________________________________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(фамилия, имя, отчество (при наличии) субъекта персональных данных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или представителя этого субъекта полностью)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проживающий по адресу: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___________________________________________________________________,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(адрес регистрации)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документ, удостоверяющий личность: __________________________________,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both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  <w:lang w:eastAsia="ru-RU"/>
              </w:rPr>
              <w:t>номер ____________________, дата выдачи ______________________________,</w:t>
            </w:r>
          </w:p>
          <w:p>
            <w:pPr>
              <w:pStyle w:val="ConsPlusNormal"/>
              <w:jc w:val="both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кем выдан: __________________________________________________________,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действующий на основании*: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____________________________________________________________________,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(реквизиты доверенности или иного документа, подтверждающего полномочия представителя Заявителя)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своей волей и в своем интересе/в интересе представляемого лица*: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___________________________________________________________________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(фамилия, имя, отчество (при наличии) представляемого лица - субъекта персональных данных),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___________________________________________________________________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(реквизиты основного документа, удостоверяющего личность представляемого лица, сведения о дате выдачи указанного документа и выдавшем его органе)</w:t>
            </w:r>
          </w:p>
          <w:p>
            <w:pPr>
              <w:pStyle w:val="ConsPlus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Normal"/>
              <w:ind w:firstLine="540"/>
              <w:jc w:val="both"/>
              <w:rPr/>
            </w:pPr>
            <w:r>
              <w:rPr>
                <w:shd w:fill="auto" w:val="clear"/>
                <w:lang w:eastAsia="ru-RU"/>
              </w:rPr>
              <w:t xml:space="preserve">выражаю согласие на обработку моих/представляемого лица персональных данных ____________________________________________________________, </w:t>
              <w:br/>
              <w:t>с</w:t>
            </w:r>
            <w:r>
              <w:rPr>
                <w:shd w:fill="auto" w:val="clear"/>
              </w:rPr>
              <w:t xml:space="preserve"> </w:t>
            </w:r>
            <w:r>
              <w:rPr>
                <w:shd w:fill="auto" w:val="clear"/>
                <w:lang w:eastAsia="ru-RU"/>
              </w:rPr>
              <w:t xml:space="preserve">целью рассмотрения Заявления о включения нестационарного торгового </w:t>
            </w:r>
            <w:r>
              <w:rPr>
                <w:shd w:fill="auto" w:val="clear"/>
              </w:rPr>
              <w:br/>
            </w:r>
            <w:r>
              <w:rPr>
                <w:shd w:fill="auto" w:val="clear"/>
                <w:lang w:eastAsia="ru-RU"/>
              </w:rPr>
              <w:t>о</w:t>
            </w:r>
            <w:r>
              <w:rPr>
                <w:szCs w:val="28"/>
                <w:shd w:fill="auto" w:val="clear"/>
                <w:lang w:eastAsia="ru-RU"/>
              </w:rPr>
              <w:t>бъекта в Схему, следующих персональных данных: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фамилия, имя, отчество;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число, месяц, год рождения;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номер и серия документа, удостоверяющего личность, сведения о дате его выдачи и выдавшем органе;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адрес места жительства (проживания);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адрес электронной почты для корреспонденции (в случае предоставления такого адреса);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иные сведения, сообщаемые в составе представленных предложений и </w:t>
            </w:r>
            <w:r>
              <w:rPr>
                <w:szCs w:val="28"/>
              </w:rPr>
              <w:br/>
            </w:r>
            <w:r>
              <w:rPr>
                <w:szCs w:val="28"/>
                <w:lang w:eastAsia="ru-RU"/>
              </w:rPr>
              <w:t>замечаний.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С предоставленными персональными данными планируется совершать </w:t>
            </w:r>
            <w:r>
              <w:rPr>
                <w:szCs w:val="28"/>
              </w:rPr>
              <w:br/>
            </w:r>
            <w:r>
              <w:rPr>
                <w:szCs w:val="28"/>
                <w:lang w:eastAsia="ru-RU"/>
              </w:rPr>
              <w:t xml:space="preserve">следующие действия: сбор, запись, систематизация, накопление, хранение, уточнение (обновление, изменение), извлечение, использование, доступ, </w:t>
            </w:r>
            <w:r>
              <w:rPr>
                <w:szCs w:val="28"/>
              </w:rPr>
              <w:br/>
            </w:r>
            <w:r>
              <w:rPr>
                <w:szCs w:val="28"/>
                <w:lang w:eastAsia="ru-RU"/>
              </w:rPr>
              <w:t>обезличивание, блокирование, удаление, уничтожение.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Планируется следующий способ обработки представленных персональных данных: неавтоматизированный.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Настоящее согласие действует со дня его подписания и в течение срока размещения нестационарного торгового объекта.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Мне разъяснено, что настоящее согласие может быть отозвано путем </w:t>
            </w:r>
            <w:r>
              <w:rPr>
                <w:szCs w:val="28"/>
              </w:rPr>
              <w:br/>
            </w:r>
            <w:r>
              <w:rPr>
                <w:szCs w:val="28"/>
                <w:lang w:eastAsia="ru-RU"/>
              </w:rPr>
              <w:t>подачи письменного заявления.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Мне разъяснены юридические последствия отказа представить свои </w:t>
            </w:r>
            <w:r>
              <w:rPr>
                <w:szCs w:val="28"/>
              </w:rPr>
              <w:br/>
            </w:r>
            <w:r>
              <w:rPr>
                <w:szCs w:val="28"/>
                <w:lang w:eastAsia="ru-RU"/>
              </w:rPr>
              <w:t>персональные данные и (или) дать согласие на их обработку, которые заключаются в том, что при отказе представить персональные данные и (или) дать согласие на их обработку заявление о включении нестационарного торгового объекта в Схему рассмотрению не подлежит.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«___»_________20__г. ____________________________________________________________________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  <w:lang w:eastAsia="ru-RU"/>
              </w:rPr>
              <w:t>(подпись, фамилия, имя, отчество прописью полностью)</w:t>
            </w:r>
          </w:p>
          <w:p>
            <w:pPr>
              <w:pStyle w:val="Normal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eastAsia="ru-RU"/>
              </w:rPr>
              <w:t>--------------------------------</w:t>
            </w:r>
          </w:p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ru-RU"/>
              </w:rPr>
              <w:t>* Заполняется только при получении согласия от представителя субъекта персональных данных.</w:t>
            </w:r>
          </w:p>
        </w:tc>
      </w:tr>
    </w:tbl>
    <w:p>
      <w:pPr>
        <w:pStyle w:val="ConsPlusNormal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footnotePr>
        <w:numFmt w:val="decimal"/>
      </w:footnotePr>
      <w:type w:val="nextPage"/>
      <w:pgSz w:w="11906" w:h="16838"/>
      <w:pgMar w:left="1418" w:right="851" w:gutter="0" w:header="0" w:top="1134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auto"/>
    <w:pitch w:val="default"/>
  </w:font>
  <w:font w:name="Liberation Sans">
    <w:altName w:val="Arial"/>
    <w:charset w:val="01"/>
    <w:family w:val="auto"/>
    <w:pitch w:val="default"/>
  </w:font>
  <w:font w:name="Tahoma">
    <w:charset w:val="01"/>
    <w:family w:val="auto"/>
    <w:pitch w:val="default"/>
  </w:font>
  <w:font w:name="Calibri">
    <w:charset w:val="01"/>
    <w:family w:val="auto"/>
    <w:pitch w:val="default"/>
  </w:font>
  <w:font w:name="Courier New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pacing w:before="0" w:after="40"/>
        <w:rPr>
          <w:highlight w:val="none"/>
          <w:shd w:fill="auto" w:val="clear"/>
        </w:rPr>
      </w:pPr>
      <w:r>
        <w:rPr>
          <w:rStyle w:val="Style5"/>
        </w:rPr>
        <w:footnoteRef/>
      </w:r>
      <w:r>
        <w:rPr>
          <w:shd w:fill="auto" w:val="clear"/>
          <w:lang w:eastAsia="ru-RU"/>
        </w:rPr>
        <w:t xml:space="preserve"> </w:t>
      </w:r>
      <w:r>
        <w:rPr>
          <w:shd w:fill="auto" w:val="clear"/>
          <w:lang w:eastAsia="ru-RU"/>
        </w:rPr>
        <w:t>Указать ссылку на пункты правил благоустройства муниципального образования Пермского края</w:t>
      </w:r>
    </w:p>
  </w:footnote>
  <w:footnote w:id="3">
    <w:p>
      <w:pPr>
        <w:pStyle w:val="FootnoteText"/>
        <w:spacing w:before="0" w:after="40"/>
        <w:rPr>
          <w:highlight w:val="none"/>
          <w:shd w:fill="auto" w:val="clear"/>
        </w:rPr>
      </w:pPr>
      <w:r>
        <w:rPr>
          <w:rStyle w:val="Style5"/>
        </w:rPr>
        <w:footnoteRef/>
      </w:r>
      <w:r>
        <w:rPr>
          <w:shd w:fill="auto" w:val="clear"/>
          <w:lang w:eastAsia="ru-RU"/>
        </w:rPr>
        <w:t xml:space="preserve"> </w:t>
      </w:r>
      <w:r>
        <w:rPr>
          <w:shd w:fill="auto" w:val="clear"/>
          <w:lang w:eastAsia="ru-RU"/>
        </w:rPr>
        <w:t>Физическое лице, не являющееся индивидуальным предпринимателем и применяющее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left"/>
      <w:rPr/>
    </w:pPr>
    <w:r>
      <w:rPr/>
    </w:r>
  </w:p>
  <w:p>
    <w:pPr>
      <w:pStyle w:val="Header"/>
      <w:jc w:val="left"/>
      <w:rPr/>
    </w:pPr>
    <w:r>
      <w:rPr/>
    </w:r>
  </w:p>
  <w:p>
    <w:pPr>
      <w:pStyle w:val="Header"/>
      <w:jc w:val="left"/>
      <w:rPr/>
    </w:pPr>
    <w:r>
      <w:rPr/>
    </w:r>
  </w:p>
  <w:p>
    <w:pPr>
      <w:pStyle w:val="Header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203200"/>
              <wp:effectExtent l="0" t="0" r="0" b="0"/>
              <wp:wrapSquare wrapText="bothSides"/>
              <wp:docPr id="7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203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240.3pt;margin-top:0.05pt;width:1.1pt;height:15.9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left"/>
      <w:rPr/>
    </w:pPr>
    <w:r>
      <w:rPr/>
    </w:r>
  </w:p>
  <w:p>
    <w:pPr>
      <w:pStyle w:val="Header"/>
      <w:jc w:val="left"/>
      <w:rPr/>
    </w:pPr>
    <w:r>
      <w:rPr/>
    </w:r>
  </w:p>
  <w:p>
    <w:pPr>
      <w:pStyle w:val="Header"/>
      <w:jc w:val="left"/>
      <w:rPr/>
    </w:pPr>
    <w:r>
      <w:rPr/>
    </w:r>
  </w:p>
  <w:p>
    <w:pPr>
      <w:pStyle w:val="Header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203200"/>
              <wp:effectExtent l="0" t="0" r="0" b="0"/>
              <wp:wrapSquare wrapText="bothSides"/>
              <wp:docPr id="8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203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240.3pt;margin-top:0.05pt;width:1.1pt;height:15.9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roid San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uiPriority w:val="1"/>
    <w:unhideWhenUsed/>
    <w:qFormat/>
    <w:rPr/>
  </w:style>
  <w:style w:type="character" w:styleId="Style8">
    <w:name w:val="Верхний колонтитул Знак"/>
    <w:qFormat/>
    <w:rPr>
      <w:sz w:val="28"/>
    </w:rPr>
  </w:style>
  <w:style w:type="character" w:styleId="1">
    <w:name w:val="Заголовок 1 Знак"/>
    <w:qFormat/>
    <w:rPr>
      <w:rFonts w:ascii="Cambria" w:hAnsi="Cambria"/>
      <w:b/>
      <w:bCs/>
      <w:color w:val="365F91"/>
      <w:sz w:val="28"/>
      <w:szCs w:val="28"/>
    </w:rPr>
  </w:style>
  <w:style w:type="character" w:styleId="Style9">
    <w:name w:val="Основной текст Знак"/>
    <w:qFormat/>
    <w:rPr>
      <w:sz w:val="28"/>
    </w:rPr>
  </w:style>
  <w:style w:type="character" w:styleId="Style10">
    <w:name w:val="Нижний колонтитул Знак"/>
    <w:qFormat/>
    <w:rPr/>
  </w:style>
  <w:style w:type="character" w:styleId="PageNumber">
    <w:name w:val="page number"/>
    <w:rPr/>
  </w:style>
  <w:style w:type="character" w:styleId="Style11">
    <w:name w:val="Подпись Знак"/>
    <w:qFormat/>
    <w:rPr>
      <w:sz w:val="28"/>
    </w:rPr>
  </w:style>
  <w:style w:type="character" w:styleId="Style12">
    <w:name w:val="Текст выноски Знак"/>
    <w:link w:val="Style25"/>
    <w:qFormat/>
    <w:rPr>
      <w:rFonts w:ascii="Tahoma" w:hAnsi="Tahoma" w:cs="Tahoma"/>
      <w:sz w:val="16"/>
      <w:szCs w:val="16"/>
    </w:rPr>
  </w:style>
  <w:style w:type="character" w:styleId="Style13">
    <w:name w:val="Выделение"/>
    <w:uiPriority w:val="20"/>
    <w:qFormat/>
    <w:rPr>
      <w:i/>
      <w:iCs/>
    </w:rPr>
  </w:style>
  <w:style w:type="character" w:styleId="Style14">
    <w:name w:val="Гиперссылка"/>
    <w:qFormat/>
    <w:rPr>
      <w:color w:val="0000FF"/>
      <w:u w:val="single"/>
    </w:rPr>
  </w:style>
  <w:style w:type="character" w:styleId="apple-converted-space">
    <w:name w:val="apple-converted-space"/>
    <w:qFormat/>
    <w:rPr/>
  </w:style>
  <w:style w:type="character" w:styleId="Style15">
    <w:name w:val="Без интервала Знак"/>
    <w:link w:val="Style27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1zysl">
    <w:name w:val="_1zysl"/>
    <w:qFormat/>
    <w:rPr/>
  </w:style>
  <w:style w:type="character" w:styleId="Style16">
    <w:name w:val="Знак примечания"/>
    <w:qFormat/>
    <w:rPr>
      <w:sz w:val="16"/>
      <w:szCs w:val="16"/>
    </w:rPr>
  </w:style>
  <w:style w:type="character" w:styleId="Style17">
    <w:name w:val="Текст примечания Знак"/>
    <w:basedOn w:val="Style7"/>
    <w:link w:val="Style30"/>
    <w:qFormat/>
    <w:rPr/>
  </w:style>
  <w:style w:type="character" w:styleId="Style18">
    <w:name w:val="Тема примечания Знак"/>
    <w:link w:val="Style31"/>
    <w:qFormat/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qFormat/>
    <w:rPr>
      <w:color w:val="808080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link w:val="Style9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4153" w:leader="none"/>
        <w:tab w:val="right" w:pos="8306" w:leader="none"/>
      </w:tabs>
      <w:jc w:val="center"/>
    </w:pPr>
    <w:rPr>
      <w:sz w:val="28"/>
      <w:szCs w:val="20"/>
    </w:rPr>
  </w:style>
  <w:style w:type="paragraph" w:styleId="Footer">
    <w:name w:val="footer"/>
    <w:basedOn w:val="Normal"/>
    <w:link w:val="Style10"/>
    <w:uiPriority w:val="99"/>
    <w:unhideWhenUsed/>
    <w:pPr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Style21">
    <w:name w:val="Адресат"/>
    <w:basedOn w:val="Normal"/>
    <w:qFormat/>
    <w:pPr>
      <w:spacing w:lineRule="exact" w:line="240"/>
    </w:pPr>
    <w:rPr>
      <w:sz w:val="28"/>
      <w:szCs w:val="20"/>
    </w:rPr>
  </w:style>
  <w:style w:type="paragraph" w:styleId="Style22">
    <w:name w:val="Заголовок к тексту"/>
    <w:basedOn w:val="Normal"/>
    <w:next w:val="BodyText"/>
    <w:qFormat/>
    <w:pPr>
      <w:spacing w:lineRule="exact" w:line="240" w:before="0" w:after="480"/>
    </w:pPr>
    <w:rPr/>
  </w:style>
  <w:style w:type="paragraph" w:styleId="Style23">
    <w:name w:val="Исполнитель"/>
    <w:basedOn w:val="BodyText"/>
    <w:qFormat/>
    <w:pPr>
      <w:spacing w:lineRule="exact" w:line="240"/>
      <w:ind w:hanging="0"/>
      <w:jc w:val="left"/>
    </w:pPr>
    <w:rPr>
      <w:sz w:val="20"/>
      <w:szCs w:val="20"/>
    </w:rPr>
  </w:style>
  <w:style w:type="paragraph" w:styleId="Signature">
    <w:name w:val="Signature"/>
    <w:basedOn w:val="Normal"/>
    <w:next w:val="BodyText"/>
    <w:link w:val="Style11"/>
    <w:pPr>
      <w:tabs>
        <w:tab w:val="clear" w:pos="708"/>
        <w:tab w:val="left" w:pos="5103" w:leader="none"/>
        <w:tab w:val="right" w:pos="9639" w:leader="none"/>
      </w:tabs>
      <w:spacing w:lineRule="exact" w:line="240" w:before="480" w:after="0"/>
      <w:jc w:val="right"/>
    </w:pPr>
    <w:rPr/>
  </w:style>
  <w:style w:type="paragraph" w:styleId="Style24">
    <w:name w:val="Подпись на  бланке должностного лица"/>
    <w:basedOn w:val="Normal"/>
    <w:next w:val="BodyText"/>
    <w:qFormat/>
    <w:pPr>
      <w:spacing w:lineRule="exact" w:line="240" w:before="480" w:after="0"/>
      <w:ind w:left="7088"/>
    </w:pPr>
    <w:rPr/>
  </w:style>
  <w:style w:type="paragraph" w:styleId="Closing">
    <w:name w:val="Closing"/>
    <w:basedOn w:val="BodyText"/>
    <w:pPr>
      <w:tabs>
        <w:tab w:val="clear" w:pos="708"/>
        <w:tab w:val="left" w:pos="1673" w:leader="none"/>
      </w:tabs>
      <w:spacing w:lineRule="exact" w:line="240" w:before="240" w:after="0"/>
      <w:ind w:hanging="1985" w:left="1985"/>
    </w:pPr>
    <w:rPr/>
  </w:style>
  <w:style w:type="paragraph" w:styleId="Style25">
    <w:name w:val="Текст выноски"/>
    <w:basedOn w:val="Normal"/>
    <w:link w:val="Style12"/>
    <w:qFormat/>
    <w:pPr/>
    <w:rPr>
      <w:rFonts w:ascii="Tahoma" w:hAnsi="Tahoma" w:cs="Tahoma"/>
      <w:sz w:val="16"/>
      <w:szCs w:val="16"/>
    </w:rPr>
  </w:style>
  <w:style w:type="paragraph" w:styleId="Style26">
    <w:name w:val="регистрационные поля"/>
    <w:basedOn w:val="Normal"/>
    <w:qFormat/>
    <w:pPr>
      <w:spacing w:lineRule="exact" w:line="240"/>
      <w:jc w:val="center"/>
    </w:pPr>
    <w:rPr>
      <w:lang w:val="en-US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Courier New"/>
      <w:color w:val="auto"/>
      <w:kern w:val="0"/>
      <w:sz w:val="20"/>
      <w:szCs w:val="20"/>
      <w:lang w:val="ru-RU" w:eastAsia="ru-RU" w:bidi="ar-SA"/>
    </w:rPr>
  </w:style>
  <w:style w:type="paragraph" w:styleId="Style27">
    <w:name w:val="Без интервала"/>
    <w:link w:val="Style15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Droid Sans"/>
      <w:color w:val="auto"/>
      <w:kern w:val="0"/>
      <w:sz w:val="22"/>
      <w:szCs w:val="22"/>
      <w:lang w:val="ru-RU" w:eastAsia="en-US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ahoma" w:cs="Calibri"/>
      <w:b/>
      <w:color w:val="auto"/>
      <w:kern w:val="0"/>
      <w:sz w:val="22"/>
      <w:szCs w:val="20"/>
      <w:lang w:val="ru-RU" w:eastAsia="ru-RU" w:bidi="ar-SA"/>
    </w:rPr>
  </w:style>
  <w:style w:type="paragraph" w:styleId="Style28">
    <w:name w:val="Обычный (веб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Style29">
    <w:name w:val="Абзац списка"/>
    <w:basedOn w:val="Normal"/>
    <w:uiPriority w:val="34"/>
    <w:qFormat/>
    <w:pPr>
      <w:ind w:left="720"/>
    </w:pPr>
    <w:rPr>
      <w:rFonts w:ascii="Calibri" w:hAnsi="Calibri" w:eastAsia="Calibri"/>
      <w:sz w:val="22"/>
      <w:szCs w:val="22"/>
      <w:lang w:eastAsia="en-US"/>
    </w:rPr>
  </w:style>
  <w:style w:type="paragraph" w:styleId="Style30">
    <w:name w:val="Текст примечания"/>
    <w:basedOn w:val="Normal"/>
    <w:link w:val="Style17"/>
    <w:qFormat/>
    <w:pPr/>
    <w:rPr>
      <w:sz w:val="20"/>
    </w:rPr>
  </w:style>
  <w:style w:type="paragraph" w:styleId="Style31">
    <w:name w:val="Тема примечания"/>
    <w:basedOn w:val="Style30"/>
    <w:next w:val="Style30"/>
    <w:link w:val="Style18"/>
    <w:qFormat/>
    <w:pPr/>
    <w:rPr>
      <w:b/>
      <w:bCs/>
    </w:rPr>
  </w:style>
  <w:style w:type="paragraph" w:styleId="Style32">
    <w:name w:val="Содержимое врезки"/>
    <w:basedOn w:val="Normal"/>
    <w:qFormat/>
    <w:pPr/>
    <w:rPr/>
  </w:style>
  <w:style w:type="paragraph" w:styleId="formattext">
    <w:name w:val="formattext"/>
    <w:basedOn w:val="Normal"/>
    <w:qFormat/>
    <w:pPr>
      <w:spacing w:beforeAutospacing="1" w:afterAutospacing="1"/>
    </w:pPr>
    <w:rPr>
      <w:rFonts w:eastAsia="Times New Roman" w:cs="Times New Roman"/>
      <w:sz w:val="24"/>
      <w:szCs w:val="24"/>
    </w:rPr>
  </w:style>
  <w:style w:type="numbering" w:styleId="Style33">
    <w:name w:val="Нет списка"/>
    <w:uiPriority w:val="99"/>
    <w:semiHidden/>
    <w:unhideWhenUsed/>
    <w:qFormat/>
  </w:style>
  <w:style w:type="numbering" w:styleId="Style34" w:default="1">
    <w:name w:val="Без списка"/>
    <w:uiPriority w:val="99"/>
    <w:semiHidden/>
    <w:unhideWhenUsed/>
    <w:qFormat/>
  </w:style>
  <w:style w:type="table" w:styleId="75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5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8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8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8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9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0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1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1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1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2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2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2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4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5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5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5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5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6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6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6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6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6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6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6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6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6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6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7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7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7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7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7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7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7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899">
    <w:name w:val="Обычная таблица"/>
    <w:semiHidden/>
  </w:style>
  <w:style w:type="table" w:styleId="926">
    <w:name w:val="Сетка таблицы"/>
    <w:basedOn w:val="899"/>
    <w:uiPriority w:val="59"/>
  </w:style>
  <w:style w:type="table" w:default="1" w:styleId="938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172.30.45.4/cons/cgi/online.cgi?req=doc&amp;base=LAW&amp;n=520124&amp;date=04.03.2026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notes" Target="footnotes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 pitchFamily="0" charset="1"/>
        <a:ea typeface="Liberation Sans" pitchFamily="0" charset="1"/>
        <a:cs typeface="Liberation Sans" pitchFamily="0" charset="1"/>
      </a:majorFont>
      <a:minorFont>
        <a:latin typeface="Liberation Sans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LibreOffice/24.8.4.1$Linux_X86_64 LibreOffice_project/480$Build-1</Application>
  <AppVersion>15.0000</AppVersion>
  <Pages>14</Pages>
  <Words>2645</Words>
  <Characters>20517</Characters>
  <CharactersWithSpaces>23327</CharactersWithSpaces>
  <Paragraphs>191</Paragraphs>
  <Company>CROC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2026-02-11T06:21:00Z</dcterms:created>
  <dc:creator>EMarkin</dc:creator>
  <dc:description/>
  <dc:language>ru-RU</dc:language>
  <cp:lastModifiedBy/>
  <dcterms:modified xsi:type="dcterms:W3CDTF">2026-05-18T14:55:23Z</dcterms:modified>
  <cp:revision>14</cp:revision>
  <dc:subject/>
  <dc:title/>
  <cp:version>983040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